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E527" w14:textId="073CB870" w:rsidR="009A0CCB" w:rsidRPr="009A0CCB" w:rsidRDefault="009A0CCB" w:rsidP="0075502F">
      <w:pPr>
        <w:jc w:val="center"/>
        <w:rPr>
          <w:rFonts w:cstheme="minorHAnsi"/>
          <w:sz w:val="36"/>
          <w:szCs w:val="36"/>
        </w:rPr>
      </w:pPr>
      <w:r>
        <w:rPr>
          <w:rFonts w:cstheme="minorHAnsi"/>
          <w:sz w:val="36"/>
          <w:szCs w:val="36"/>
        </w:rPr>
        <w:t>comaguer</w:t>
      </w:r>
    </w:p>
    <w:p w14:paraId="475A2F4F" w14:textId="4B3F0E49" w:rsidR="00040194" w:rsidRDefault="0075502F" w:rsidP="0075502F">
      <w:pPr>
        <w:jc w:val="center"/>
        <w:rPr>
          <w:rFonts w:ascii="Bodoni MT" w:hAnsi="Bodoni MT"/>
          <w:sz w:val="36"/>
          <w:szCs w:val="36"/>
        </w:rPr>
      </w:pPr>
      <w:r w:rsidRPr="00546C64">
        <w:rPr>
          <w:rFonts w:ascii="Bodoni MT" w:hAnsi="Bodoni MT"/>
          <w:sz w:val="36"/>
          <w:szCs w:val="36"/>
        </w:rPr>
        <w:t>Bulletin 612</w:t>
      </w:r>
    </w:p>
    <w:p w14:paraId="3E6C3515" w14:textId="037C7C59" w:rsidR="00023284" w:rsidRPr="00546C64" w:rsidRDefault="00023284" w:rsidP="0075502F">
      <w:pPr>
        <w:jc w:val="center"/>
        <w:rPr>
          <w:rFonts w:ascii="Bodoni MT" w:hAnsi="Bodoni MT"/>
          <w:sz w:val="36"/>
          <w:szCs w:val="36"/>
        </w:rPr>
      </w:pPr>
      <w:r>
        <w:rPr>
          <w:rFonts w:ascii="Bodoni MT" w:hAnsi="Bodoni MT"/>
          <w:sz w:val="36"/>
          <w:szCs w:val="36"/>
        </w:rPr>
        <w:t>18 Mai 2025</w:t>
      </w:r>
    </w:p>
    <w:p w14:paraId="5F82C7E3" w14:textId="41EED870" w:rsidR="0075502F" w:rsidRDefault="0075502F" w:rsidP="0075502F">
      <w:pPr>
        <w:jc w:val="center"/>
        <w:rPr>
          <w:rFonts w:ascii="Bodoni MT" w:hAnsi="Bodoni MT"/>
          <w:sz w:val="36"/>
          <w:szCs w:val="36"/>
        </w:rPr>
      </w:pPr>
      <w:r w:rsidRPr="00546C64">
        <w:rPr>
          <w:rFonts w:ascii="Bodoni MT" w:hAnsi="Bodoni MT"/>
          <w:sz w:val="36"/>
          <w:szCs w:val="36"/>
        </w:rPr>
        <w:t>Menus accommodements avec le génocide</w:t>
      </w:r>
    </w:p>
    <w:p w14:paraId="3BF718FB" w14:textId="6865D080" w:rsidR="005560B7" w:rsidRPr="00546C64" w:rsidRDefault="005560B7" w:rsidP="0075502F">
      <w:pPr>
        <w:jc w:val="center"/>
        <w:rPr>
          <w:rFonts w:ascii="Bodoni MT" w:hAnsi="Bodoni MT"/>
          <w:sz w:val="36"/>
          <w:szCs w:val="36"/>
        </w:rPr>
      </w:pPr>
      <w:r>
        <w:rPr>
          <w:rFonts w:ascii="Bodoni MT" w:hAnsi="Bodoni MT"/>
          <w:sz w:val="36"/>
          <w:szCs w:val="36"/>
        </w:rPr>
        <w:t>***</w:t>
      </w:r>
    </w:p>
    <w:p w14:paraId="65DFD13D" w14:textId="09BCB78D" w:rsidR="0075502F" w:rsidRPr="00546C64" w:rsidRDefault="0075502F" w:rsidP="0075502F">
      <w:pPr>
        <w:jc w:val="both"/>
        <w:rPr>
          <w:rFonts w:ascii="Bodoni MT" w:hAnsi="Bodoni MT"/>
          <w:sz w:val="24"/>
          <w:szCs w:val="24"/>
        </w:rPr>
      </w:pPr>
      <w:r w:rsidRPr="00546C64">
        <w:rPr>
          <w:rFonts w:ascii="Bodoni MT" w:hAnsi="Bodoni MT"/>
          <w:sz w:val="24"/>
          <w:szCs w:val="24"/>
        </w:rPr>
        <w:t>La cour internationale de justice</w:t>
      </w:r>
      <w:r w:rsidR="00023284">
        <w:rPr>
          <w:rFonts w:ascii="Bodoni MT" w:hAnsi="Bodoni MT"/>
          <w:sz w:val="24"/>
          <w:szCs w:val="24"/>
        </w:rPr>
        <w:t xml:space="preserve"> (CIJ)</w:t>
      </w:r>
      <w:r w:rsidRPr="00546C64">
        <w:rPr>
          <w:rFonts w:ascii="Bodoni MT" w:hAnsi="Bodoni MT"/>
          <w:sz w:val="24"/>
          <w:szCs w:val="24"/>
        </w:rPr>
        <w:t xml:space="preserve"> vient de rendre un avis qui mérite quelques éclaircissements</w:t>
      </w:r>
      <w:r w:rsidR="00023284">
        <w:rPr>
          <w:rFonts w:ascii="Bodoni MT" w:hAnsi="Bodoni MT"/>
          <w:sz w:val="24"/>
          <w:szCs w:val="24"/>
        </w:rPr>
        <w:t>.</w:t>
      </w:r>
    </w:p>
    <w:p w14:paraId="4E501C51" w14:textId="3AED0480" w:rsidR="0075502F" w:rsidRPr="00546C64" w:rsidRDefault="0075502F" w:rsidP="0075502F">
      <w:pPr>
        <w:jc w:val="both"/>
        <w:rPr>
          <w:rFonts w:ascii="Bodoni MT" w:hAnsi="Bodoni MT"/>
          <w:sz w:val="24"/>
          <w:szCs w:val="24"/>
        </w:rPr>
      </w:pPr>
      <w:r w:rsidRPr="00546C64">
        <w:rPr>
          <w:rFonts w:ascii="Bodoni MT" w:hAnsi="Bodoni MT"/>
          <w:sz w:val="24"/>
          <w:szCs w:val="24"/>
        </w:rPr>
        <w:t xml:space="preserve">Elle a été </w:t>
      </w:r>
      <w:r w:rsidR="00546C64">
        <w:rPr>
          <w:rFonts w:ascii="Bodoni MT" w:hAnsi="Bodoni MT"/>
          <w:sz w:val="24"/>
          <w:szCs w:val="24"/>
        </w:rPr>
        <w:t>s</w:t>
      </w:r>
      <w:r w:rsidRPr="00546C64">
        <w:rPr>
          <w:rFonts w:ascii="Bodoni MT" w:hAnsi="Bodoni MT"/>
          <w:sz w:val="24"/>
          <w:szCs w:val="24"/>
        </w:rPr>
        <w:t>aisie par le gouvernement du Soudan qui accusait les Emirats Arabes Unis de complicité de génocide dans l’Ouest du Soudan</w:t>
      </w:r>
      <w:r w:rsidR="00546C64">
        <w:rPr>
          <w:rFonts w:ascii="Bodoni MT" w:hAnsi="Bodoni MT"/>
          <w:sz w:val="24"/>
          <w:szCs w:val="24"/>
        </w:rPr>
        <w:t xml:space="preserve"> en particulier contre la minorité Massalit </w:t>
      </w:r>
      <w:r w:rsidR="005560B7">
        <w:rPr>
          <w:rFonts w:ascii="Bodoni MT" w:hAnsi="Bodoni MT"/>
          <w:sz w:val="24"/>
          <w:szCs w:val="24"/>
        </w:rPr>
        <w:t>minorité</w:t>
      </w:r>
      <w:r w:rsidR="00EB64D2">
        <w:rPr>
          <w:rFonts w:ascii="Bodoni MT" w:hAnsi="Bodoni MT"/>
          <w:sz w:val="24"/>
          <w:szCs w:val="24"/>
        </w:rPr>
        <w:t xml:space="preserve"> non arabe </w:t>
      </w:r>
      <w:r w:rsidR="00546C64">
        <w:rPr>
          <w:rFonts w:ascii="Bodoni MT" w:hAnsi="Bodoni MT"/>
          <w:sz w:val="24"/>
          <w:szCs w:val="24"/>
        </w:rPr>
        <w:t xml:space="preserve">vivant dans l’Ouest du </w:t>
      </w:r>
      <w:r w:rsidR="005560B7">
        <w:rPr>
          <w:rFonts w:ascii="Bodoni MT" w:hAnsi="Bodoni MT"/>
          <w:sz w:val="24"/>
          <w:szCs w:val="24"/>
        </w:rPr>
        <w:t>Darfour</w:t>
      </w:r>
      <w:r w:rsidR="00546C64">
        <w:rPr>
          <w:rFonts w:ascii="Bodoni MT" w:hAnsi="Bodoni MT"/>
          <w:sz w:val="24"/>
          <w:szCs w:val="24"/>
        </w:rPr>
        <w:t xml:space="preserve"> aux confins du Tchad</w:t>
      </w:r>
      <w:r w:rsidRPr="00546C64">
        <w:rPr>
          <w:rFonts w:ascii="Bodoni MT" w:hAnsi="Bodoni MT"/>
          <w:sz w:val="24"/>
          <w:szCs w:val="24"/>
        </w:rPr>
        <w:t xml:space="preserve">. Mais </w:t>
      </w:r>
      <w:r w:rsidR="009A0CCB">
        <w:rPr>
          <w:rFonts w:ascii="Bodoni MT" w:hAnsi="Bodoni MT"/>
          <w:sz w:val="24"/>
          <w:szCs w:val="24"/>
        </w:rPr>
        <w:t xml:space="preserve">la Cour </w:t>
      </w:r>
      <w:r w:rsidRPr="00546C64">
        <w:rPr>
          <w:rFonts w:ascii="Bodoni MT" w:hAnsi="Bodoni MT"/>
          <w:sz w:val="24"/>
          <w:szCs w:val="24"/>
        </w:rPr>
        <w:t>s’est rétractée</w:t>
      </w:r>
      <w:r w:rsidR="000D7858" w:rsidRPr="00546C64">
        <w:rPr>
          <w:rFonts w:ascii="Bodoni MT" w:hAnsi="Bodoni MT"/>
          <w:sz w:val="24"/>
          <w:szCs w:val="24"/>
        </w:rPr>
        <w:t>.</w:t>
      </w:r>
      <w:r w:rsidRPr="00546C64">
        <w:rPr>
          <w:rFonts w:ascii="Bodoni MT" w:hAnsi="Bodoni MT"/>
          <w:sz w:val="24"/>
          <w:szCs w:val="24"/>
        </w:rPr>
        <w:t xml:space="preserve"> </w:t>
      </w:r>
      <w:r w:rsidR="00546C64" w:rsidRPr="00546C64">
        <w:rPr>
          <w:rFonts w:ascii="Bodoni MT" w:hAnsi="Bodoni MT"/>
          <w:sz w:val="24"/>
          <w:szCs w:val="24"/>
        </w:rPr>
        <w:t>Les raisons juridiques sont e</w:t>
      </w:r>
      <w:r w:rsidR="00221699">
        <w:rPr>
          <w:rFonts w:ascii="Bodoni MT" w:hAnsi="Bodoni MT"/>
          <w:sz w:val="24"/>
          <w:szCs w:val="24"/>
        </w:rPr>
        <w:t>x</w:t>
      </w:r>
      <w:r w:rsidR="00546C64" w:rsidRPr="00546C64">
        <w:rPr>
          <w:rFonts w:ascii="Bodoni MT" w:hAnsi="Bodoni MT"/>
          <w:sz w:val="24"/>
          <w:szCs w:val="24"/>
        </w:rPr>
        <w:t>plicitées dans le communique de presse qui sui</w:t>
      </w:r>
      <w:r w:rsidR="00221699">
        <w:rPr>
          <w:rFonts w:ascii="Bodoni MT" w:hAnsi="Bodoni MT"/>
          <w:sz w:val="24"/>
          <w:szCs w:val="24"/>
        </w:rPr>
        <w:t>t</w:t>
      </w:r>
      <w:r w:rsidR="00546C64" w:rsidRPr="00546C64">
        <w:rPr>
          <w:rFonts w:ascii="Bodoni MT" w:hAnsi="Bodoni MT"/>
          <w:sz w:val="24"/>
          <w:szCs w:val="24"/>
        </w:rPr>
        <w:t xml:space="preserve"> ( rappel le français est langue officielle de la CIJ)</w:t>
      </w:r>
    </w:p>
    <w:p w14:paraId="328A35E7" w14:textId="49A768C2" w:rsidR="00546C64" w:rsidRDefault="005560B7" w:rsidP="005560B7">
      <w:pPr>
        <w:jc w:val="center"/>
        <w:rPr>
          <w:sz w:val="24"/>
          <w:szCs w:val="24"/>
        </w:rPr>
      </w:pPr>
      <w:r>
        <w:rPr>
          <w:sz w:val="24"/>
          <w:szCs w:val="24"/>
        </w:rPr>
        <w:t>***</w:t>
      </w:r>
    </w:p>
    <w:p w14:paraId="48E4E597" w14:textId="46AAD1AB" w:rsidR="00546C64" w:rsidRDefault="000D7858" w:rsidP="00546C64">
      <w:pPr>
        <w:jc w:val="center"/>
        <w:rPr>
          <w:sz w:val="24"/>
          <w:szCs w:val="24"/>
        </w:rPr>
      </w:pPr>
      <w:r w:rsidRPr="000D7858">
        <w:rPr>
          <w:sz w:val="24"/>
          <w:szCs w:val="24"/>
        </w:rPr>
        <w:t>Communiqué de presse No 2025/24 Le 5 mai 2025</w:t>
      </w:r>
    </w:p>
    <w:p w14:paraId="4DF86875" w14:textId="223A6C48" w:rsidR="00546C64" w:rsidRDefault="000D7858" w:rsidP="00546C64">
      <w:pPr>
        <w:jc w:val="center"/>
        <w:rPr>
          <w:sz w:val="24"/>
          <w:szCs w:val="24"/>
        </w:rPr>
      </w:pPr>
      <w:r w:rsidRPr="000D7858">
        <w:rPr>
          <w:sz w:val="24"/>
          <w:szCs w:val="24"/>
        </w:rPr>
        <w:t>Application de la convention pour la prévention et la répression du crime de génocide au Soudan (Soudan c. Émirats arabes unis)</w:t>
      </w:r>
    </w:p>
    <w:p w14:paraId="615B26D7" w14:textId="70563688" w:rsidR="00546C64" w:rsidRDefault="000D7858" w:rsidP="0075502F">
      <w:pPr>
        <w:jc w:val="both"/>
        <w:rPr>
          <w:sz w:val="24"/>
          <w:szCs w:val="24"/>
        </w:rPr>
      </w:pPr>
      <w:r w:rsidRPr="000D7858">
        <w:rPr>
          <w:sz w:val="24"/>
          <w:szCs w:val="24"/>
        </w:rPr>
        <w:t>La Cour rejette la demande en indication de mesures conservatoires du Soudan et ordonne que l’affaire soit rayée du rôle général LA HAYE, le 5 mai 2025. La Cour internationale de Justice a rendu ce jour son ordonnance sur la demande en indication de mesures conservatoires présentée par le Soudan en l’affaire relative à l’Application de la convention pour la prévention et la répression du crime de génocide au Soudan (Soudan c. Émirats arabes unis). Les audiences publiques sur cette demande se sont tenues le 10 avril 2025</w:t>
      </w:r>
      <w:r w:rsidR="009D3676">
        <w:rPr>
          <w:sz w:val="24"/>
          <w:szCs w:val="24"/>
        </w:rPr>
        <w:t>.</w:t>
      </w:r>
      <w:r w:rsidRPr="000D7858">
        <w:rPr>
          <w:sz w:val="24"/>
          <w:szCs w:val="24"/>
        </w:rPr>
        <w:t xml:space="preserve"> </w:t>
      </w:r>
    </w:p>
    <w:p w14:paraId="097BA4F7" w14:textId="77777777" w:rsidR="00221699" w:rsidRDefault="000D7858" w:rsidP="0075502F">
      <w:pPr>
        <w:jc w:val="both"/>
        <w:rPr>
          <w:sz w:val="24"/>
          <w:szCs w:val="24"/>
        </w:rPr>
      </w:pPr>
      <w:r w:rsidRPr="000D7858">
        <w:rPr>
          <w:sz w:val="24"/>
          <w:szCs w:val="24"/>
        </w:rPr>
        <w:t xml:space="preserve">Dans son ordonnance, la Cour relève qu’elle ne peut indiquer des mesures conservatoires que si les dispositions invoquées par le demandeur semblent prima facie constituer une base sur laquelle sa compétence pourrait être fondée. </w:t>
      </w:r>
    </w:p>
    <w:p w14:paraId="37693211" w14:textId="20AC350B" w:rsidR="00546C64" w:rsidRPr="00221699" w:rsidRDefault="000D7858" w:rsidP="0075502F">
      <w:pPr>
        <w:jc w:val="both"/>
        <w:rPr>
          <w:b/>
          <w:bCs/>
          <w:sz w:val="24"/>
          <w:szCs w:val="24"/>
        </w:rPr>
      </w:pPr>
      <w:r w:rsidRPr="00221699">
        <w:rPr>
          <w:b/>
          <w:bCs/>
          <w:sz w:val="24"/>
          <w:szCs w:val="24"/>
        </w:rPr>
        <w:t xml:space="preserve">La Cour note également que les Émirats arabes unis ont, lors de leur adhésion à la convention sur le génocide, émis une réserve à l’article IX, visant à exclure la compétence de la Cour. Eu égard à la réserve des Émirats arabes unis à l’article IX de la convention sur le génocide, la Cour fait observer que cette disposition ne saurait constituer, prima facie, une base de compétence en la présente espèce. Il s’ensuit que la Cour ne peut indiquer les mesures conservatoires demandées. </w:t>
      </w:r>
    </w:p>
    <w:p w14:paraId="2E328A55" w14:textId="77777777" w:rsidR="00546C64" w:rsidRDefault="000D7858" w:rsidP="0075502F">
      <w:pPr>
        <w:jc w:val="both"/>
        <w:rPr>
          <w:sz w:val="24"/>
          <w:szCs w:val="24"/>
        </w:rPr>
      </w:pPr>
      <w:r w:rsidRPr="000D7858">
        <w:rPr>
          <w:sz w:val="24"/>
          <w:szCs w:val="24"/>
        </w:rPr>
        <w:t xml:space="preserve">La Cour estime en outre que, compte tenu de la réserve émise par les Émirats arabes unis et de l’absence de toute autre base de compétence, elle n’a manifestement pas compétence pour connaître de la requête du Soudan. </w:t>
      </w:r>
      <w:r w:rsidRPr="00221699">
        <w:rPr>
          <w:b/>
          <w:bCs/>
          <w:sz w:val="24"/>
          <w:szCs w:val="24"/>
        </w:rPr>
        <w:t xml:space="preserve">L’affaire sera donc rayée de son rôle. </w:t>
      </w:r>
    </w:p>
    <w:p w14:paraId="773879D2" w14:textId="59B274AA" w:rsidR="000D7858" w:rsidRDefault="000D7858" w:rsidP="0075502F">
      <w:pPr>
        <w:jc w:val="both"/>
        <w:rPr>
          <w:b/>
          <w:bCs/>
          <w:sz w:val="24"/>
          <w:szCs w:val="24"/>
        </w:rPr>
      </w:pPr>
      <w:r w:rsidRPr="00546C64">
        <w:rPr>
          <w:b/>
          <w:bCs/>
          <w:sz w:val="24"/>
          <w:szCs w:val="24"/>
        </w:rPr>
        <w:lastRenderedPageBreak/>
        <w:t>La Cour rappelle toutefois qu’il existe une distinction fondamentale entre la question de l’acceptation de la juridiction de la Cour par les États et la conformité de leurs actes au droit international. Qu’ils aient accepté ou non cette juridiction en vertu de l’article IX de la convention sur le génocide, les États sont tenus de se conformer aux obligations mises à leur charge par cet instrument, et demeurent responsables des actes contraires à leurs obligations internationales qui pourraient leur être attribués.</w:t>
      </w:r>
    </w:p>
    <w:p w14:paraId="1CF9E225" w14:textId="6FD1C190" w:rsidR="00221699" w:rsidRDefault="00221699" w:rsidP="00221699">
      <w:pPr>
        <w:jc w:val="center"/>
        <w:rPr>
          <w:b/>
          <w:bCs/>
          <w:sz w:val="24"/>
          <w:szCs w:val="24"/>
        </w:rPr>
      </w:pPr>
      <w:r>
        <w:rPr>
          <w:b/>
          <w:bCs/>
          <w:sz w:val="24"/>
          <w:szCs w:val="24"/>
        </w:rPr>
        <w:t>***</w:t>
      </w:r>
    </w:p>
    <w:p w14:paraId="4703DC39" w14:textId="77777777" w:rsidR="000C6EDA" w:rsidRDefault="00221699" w:rsidP="0075502F">
      <w:pPr>
        <w:jc w:val="both"/>
        <w:rPr>
          <w:rFonts w:ascii="Bodoni MT" w:hAnsi="Bodoni MT"/>
          <w:b/>
          <w:bCs/>
          <w:sz w:val="24"/>
          <w:szCs w:val="24"/>
        </w:rPr>
      </w:pPr>
      <w:r w:rsidRPr="00221699">
        <w:rPr>
          <w:rFonts w:ascii="Bodoni MT" w:hAnsi="Bodoni MT"/>
          <w:b/>
          <w:bCs/>
          <w:sz w:val="24"/>
          <w:szCs w:val="24"/>
        </w:rPr>
        <w:t>On pourrait ainsi conclure que l’incident est clos</w:t>
      </w:r>
      <w:r w:rsidR="000C6EDA">
        <w:rPr>
          <w:rFonts w:ascii="Bodoni MT" w:hAnsi="Bodoni MT"/>
          <w:b/>
          <w:bCs/>
          <w:sz w:val="24"/>
          <w:szCs w:val="24"/>
        </w:rPr>
        <w:t xml:space="preserve"> mais il est riche d’enseignements</w:t>
      </w:r>
      <w:r>
        <w:rPr>
          <w:rFonts w:ascii="Bodoni MT" w:hAnsi="Bodoni MT"/>
          <w:b/>
          <w:bCs/>
          <w:sz w:val="24"/>
          <w:szCs w:val="24"/>
        </w:rPr>
        <w:t>.</w:t>
      </w:r>
      <w:r w:rsidR="000C6EDA">
        <w:rPr>
          <w:rFonts w:ascii="Bodoni MT" w:hAnsi="Bodoni MT"/>
          <w:b/>
          <w:bCs/>
          <w:sz w:val="24"/>
          <w:szCs w:val="24"/>
        </w:rPr>
        <w:t xml:space="preserve"> </w:t>
      </w:r>
    </w:p>
    <w:p w14:paraId="20957EB3" w14:textId="44D2A89A" w:rsidR="000C6EDA" w:rsidRDefault="00221699" w:rsidP="0075502F">
      <w:pPr>
        <w:jc w:val="both"/>
        <w:rPr>
          <w:rFonts w:ascii="Bodoni MT" w:hAnsi="Bodoni MT"/>
          <w:b/>
          <w:bCs/>
          <w:sz w:val="24"/>
          <w:szCs w:val="24"/>
        </w:rPr>
      </w:pPr>
      <w:r>
        <w:rPr>
          <w:rFonts w:ascii="Bodoni MT" w:hAnsi="Bodoni MT"/>
          <w:b/>
          <w:bCs/>
          <w:sz w:val="24"/>
          <w:szCs w:val="24"/>
        </w:rPr>
        <w:t>Les Emirats</w:t>
      </w:r>
      <w:r w:rsidR="009D3676">
        <w:rPr>
          <w:rFonts w:ascii="Bodoni MT" w:hAnsi="Bodoni MT"/>
          <w:b/>
          <w:bCs/>
          <w:sz w:val="24"/>
          <w:szCs w:val="24"/>
        </w:rPr>
        <w:t xml:space="preserve"> Arabes Unis</w:t>
      </w:r>
      <w:r>
        <w:rPr>
          <w:rFonts w:ascii="Bodoni MT" w:hAnsi="Bodoni MT"/>
          <w:b/>
          <w:bCs/>
          <w:sz w:val="24"/>
          <w:szCs w:val="24"/>
        </w:rPr>
        <w:t xml:space="preserve"> ont adhér</w:t>
      </w:r>
      <w:r w:rsidR="000C6EDA">
        <w:rPr>
          <w:rFonts w:ascii="Bodoni MT" w:hAnsi="Bodoni MT"/>
          <w:b/>
          <w:bCs/>
          <w:sz w:val="24"/>
          <w:szCs w:val="24"/>
        </w:rPr>
        <w:t>é</w:t>
      </w:r>
      <w:r>
        <w:rPr>
          <w:rFonts w:ascii="Bodoni MT" w:hAnsi="Bodoni MT"/>
          <w:b/>
          <w:bCs/>
          <w:sz w:val="24"/>
          <w:szCs w:val="24"/>
        </w:rPr>
        <w:t xml:space="preserve"> </w:t>
      </w:r>
      <w:r w:rsidR="005560B7">
        <w:rPr>
          <w:rFonts w:ascii="Bodoni MT" w:hAnsi="Bodoni MT"/>
          <w:b/>
          <w:bCs/>
          <w:sz w:val="24"/>
          <w:szCs w:val="24"/>
        </w:rPr>
        <w:t xml:space="preserve">tardivement en 2005 </w:t>
      </w:r>
      <w:r>
        <w:rPr>
          <w:rFonts w:ascii="Bodoni MT" w:hAnsi="Bodoni MT"/>
          <w:b/>
          <w:bCs/>
          <w:sz w:val="24"/>
          <w:szCs w:val="24"/>
        </w:rPr>
        <w:t xml:space="preserve">à la </w:t>
      </w:r>
      <w:r w:rsidR="000C6EDA">
        <w:rPr>
          <w:rFonts w:ascii="Bodoni MT" w:hAnsi="Bodoni MT"/>
          <w:b/>
          <w:bCs/>
          <w:sz w:val="24"/>
          <w:szCs w:val="24"/>
        </w:rPr>
        <w:t xml:space="preserve">convention contre le génocide mais ont émis des réserves qui sont admises dans la </w:t>
      </w:r>
      <w:r w:rsidR="005560B7">
        <w:rPr>
          <w:rFonts w:ascii="Bodoni MT" w:hAnsi="Bodoni MT"/>
          <w:b/>
          <w:bCs/>
          <w:sz w:val="24"/>
          <w:szCs w:val="24"/>
        </w:rPr>
        <w:t>convention consistant</w:t>
      </w:r>
      <w:r w:rsidR="000C6EDA">
        <w:rPr>
          <w:rFonts w:ascii="Bodoni MT" w:hAnsi="Bodoni MT"/>
          <w:b/>
          <w:bCs/>
          <w:sz w:val="24"/>
          <w:szCs w:val="24"/>
        </w:rPr>
        <w:t xml:space="preserve"> à refuser à la CIJ le droit de se prononcer sur leurs violations de la</w:t>
      </w:r>
      <w:r w:rsidR="009D3676">
        <w:rPr>
          <w:rFonts w:ascii="Bodoni MT" w:hAnsi="Bodoni MT"/>
          <w:b/>
          <w:bCs/>
          <w:sz w:val="24"/>
          <w:szCs w:val="24"/>
        </w:rPr>
        <w:t xml:space="preserve"> dite </w:t>
      </w:r>
      <w:r w:rsidR="000C6EDA">
        <w:rPr>
          <w:rFonts w:ascii="Bodoni MT" w:hAnsi="Bodoni MT"/>
          <w:b/>
          <w:bCs/>
          <w:sz w:val="24"/>
          <w:szCs w:val="24"/>
        </w:rPr>
        <w:t>Convention. Ils ne sont pas le seul Etat à avoir émis de telles réserves.</w:t>
      </w:r>
      <w:r>
        <w:rPr>
          <w:rFonts w:ascii="Bodoni MT" w:hAnsi="Bodoni MT"/>
          <w:b/>
          <w:bCs/>
          <w:sz w:val="24"/>
          <w:szCs w:val="24"/>
        </w:rPr>
        <w:t xml:space="preserve"> </w:t>
      </w:r>
      <w:r w:rsidR="000C6EDA">
        <w:rPr>
          <w:rFonts w:ascii="Bodoni MT" w:hAnsi="Bodoni MT"/>
          <w:b/>
          <w:bCs/>
          <w:sz w:val="24"/>
          <w:szCs w:val="24"/>
        </w:rPr>
        <w:t xml:space="preserve">La demande du Soudan est </w:t>
      </w:r>
      <w:r w:rsidR="00023284">
        <w:rPr>
          <w:rFonts w:ascii="Bodoni MT" w:hAnsi="Bodoni MT"/>
          <w:b/>
          <w:bCs/>
          <w:sz w:val="24"/>
          <w:szCs w:val="24"/>
        </w:rPr>
        <w:t xml:space="preserve">donc </w:t>
      </w:r>
      <w:r w:rsidR="000C6EDA">
        <w:rPr>
          <w:rFonts w:ascii="Bodoni MT" w:hAnsi="Bodoni MT"/>
          <w:b/>
          <w:bCs/>
          <w:sz w:val="24"/>
          <w:szCs w:val="24"/>
        </w:rPr>
        <w:t>rejetée</w:t>
      </w:r>
      <w:r w:rsidR="00023284">
        <w:rPr>
          <w:rFonts w:ascii="Bodoni MT" w:hAnsi="Bodoni MT"/>
          <w:b/>
          <w:bCs/>
          <w:sz w:val="24"/>
          <w:szCs w:val="24"/>
        </w:rPr>
        <w:t xml:space="preserve"> pour des raisons juridiques valables</w:t>
      </w:r>
      <w:r w:rsidR="000C6EDA">
        <w:rPr>
          <w:rFonts w:ascii="Bodoni MT" w:hAnsi="Bodoni MT"/>
          <w:b/>
          <w:bCs/>
          <w:sz w:val="24"/>
          <w:szCs w:val="24"/>
        </w:rPr>
        <w:t>.</w:t>
      </w:r>
    </w:p>
    <w:p w14:paraId="31B78224" w14:textId="5A217E27" w:rsidR="000C6EDA" w:rsidRDefault="000C6EDA" w:rsidP="0075502F">
      <w:pPr>
        <w:jc w:val="both"/>
        <w:rPr>
          <w:rFonts w:ascii="Bodoni MT" w:hAnsi="Bodoni MT"/>
          <w:b/>
          <w:bCs/>
          <w:sz w:val="24"/>
          <w:szCs w:val="24"/>
        </w:rPr>
      </w:pPr>
      <w:r>
        <w:rPr>
          <w:rFonts w:ascii="Bodoni MT" w:hAnsi="Bodoni MT"/>
          <w:b/>
          <w:bCs/>
          <w:sz w:val="24"/>
          <w:szCs w:val="24"/>
        </w:rPr>
        <w:t>Il reste que les EAU on</w:t>
      </w:r>
      <w:r w:rsidR="005E0433">
        <w:rPr>
          <w:rFonts w:ascii="Bodoni MT" w:hAnsi="Bodoni MT"/>
          <w:b/>
          <w:bCs/>
          <w:sz w:val="24"/>
          <w:szCs w:val="24"/>
        </w:rPr>
        <w:t>t</w:t>
      </w:r>
      <w:r>
        <w:rPr>
          <w:rFonts w:ascii="Bodoni MT" w:hAnsi="Bodoni MT"/>
          <w:b/>
          <w:bCs/>
          <w:sz w:val="24"/>
          <w:szCs w:val="24"/>
        </w:rPr>
        <w:t xml:space="preserve"> signé la convention contre le génocide et qu’ils devraient</w:t>
      </w:r>
      <w:r w:rsidR="009A0CCB">
        <w:rPr>
          <w:rFonts w:ascii="Bodoni MT" w:hAnsi="Bodoni MT"/>
          <w:b/>
          <w:bCs/>
          <w:sz w:val="24"/>
          <w:szCs w:val="24"/>
        </w:rPr>
        <w:t>,</w:t>
      </w:r>
      <w:r>
        <w:rPr>
          <w:rFonts w:ascii="Bodoni MT" w:hAnsi="Bodoni MT"/>
          <w:b/>
          <w:bCs/>
          <w:sz w:val="24"/>
          <w:szCs w:val="24"/>
        </w:rPr>
        <w:t xml:space="preserve"> condamnés ou pas par la CIJ</w:t>
      </w:r>
      <w:r w:rsidR="009A0CCB">
        <w:rPr>
          <w:rFonts w:ascii="Bodoni MT" w:hAnsi="Bodoni MT"/>
          <w:b/>
          <w:bCs/>
          <w:sz w:val="24"/>
          <w:szCs w:val="24"/>
        </w:rPr>
        <w:t>,</w:t>
      </w:r>
      <w:r>
        <w:rPr>
          <w:rFonts w:ascii="Bodoni MT" w:hAnsi="Bodoni MT"/>
          <w:b/>
          <w:bCs/>
          <w:sz w:val="24"/>
          <w:szCs w:val="24"/>
        </w:rPr>
        <w:t xml:space="preserve"> en respecter les dispositions</w:t>
      </w:r>
      <w:r w:rsidR="005560B7">
        <w:rPr>
          <w:rFonts w:ascii="Bodoni MT" w:hAnsi="Bodoni MT"/>
          <w:b/>
          <w:bCs/>
          <w:sz w:val="24"/>
          <w:szCs w:val="24"/>
        </w:rPr>
        <w:t xml:space="preserve"> et ne pas participer à des opérations génocidaires</w:t>
      </w:r>
      <w:r w:rsidR="009D3676">
        <w:rPr>
          <w:rFonts w:ascii="Bodoni MT" w:hAnsi="Bodoni MT"/>
          <w:b/>
          <w:bCs/>
          <w:sz w:val="24"/>
          <w:szCs w:val="24"/>
        </w:rPr>
        <w:t xml:space="preserve">. </w:t>
      </w:r>
      <w:r>
        <w:rPr>
          <w:rFonts w:ascii="Bodoni MT" w:hAnsi="Bodoni MT"/>
          <w:b/>
          <w:bCs/>
          <w:sz w:val="24"/>
          <w:szCs w:val="24"/>
        </w:rPr>
        <w:t>Mais chacun sait</w:t>
      </w:r>
      <w:r w:rsidR="009D3676">
        <w:rPr>
          <w:rFonts w:ascii="Bodoni MT" w:hAnsi="Bodoni MT"/>
          <w:b/>
          <w:bCs/>
          <w:sz w:val="24"/>
          <w:szCs w:val="24"/>
        </w:rPr>
        <w:t xml:space="preserve"> que pareille signature n’engage pas à grand-chose puis</w:t>
      </w:r>
      <w:r>
        <w:rPr>
          <w:rFonts w:ascii="Bodoni MT" w:hAnsi="Bodoni MT"/>
          <w:b/>
          <w:bCs/>
          <w:sz w:val="24"/>
          <w:szCs w:val="24"/>
        </w:rPr>
        <w:t>qu’</w:t>
      </w:r>
      <w:r w:rsidR="005560B7">
        <w:rPr>
          <w:rFonts w:ascii="Bodoni MT" w:hAnsi="Bodoni MT"/>
          <w:b/>
          <w:bCs/>
          <w:sz w:val="24"/>
          <w:szCs w:val="24"/>
        </w:rPr>
        <w:t>Israël</w:t>
      </w:r>
      <w:r>
        <w:rPr>
          <w:rFonts w:ascii="Bodoni MT" w:hAnsi="Bodoni MT"/>
          <w:b/>
          <w:bCs/>
          <w:sz w:val="24"/>
          <w:szCs w:val="24"/>
        </w:rPr>
        <w:t xml:space="preserve"> un des tous premiers Etats à l</w:t>
      </w:r>
      <w:r w:rsidR="009D3676">
        <w:rPr>
          <w:rFonts w:ascii="Bodoni MT" w:hAnsi="Bodoni MT"/>
          <w:b/>
          <w:bCs/>
          <w:sz w:val="24"/>
          <w:szCs w:val="24"/>
        </w:rPr>
        <w:t xml:space="preserve">’avoir </w:t>
      </w:r>
      <w:r>
        <w:rPr>
          <w:rFonts w:ascii="Bodoni MT" w:hAnsi="Bodoni MT"/>
          <w:b/>
          <w:bCs/>
          <w:sz w:val="24"/>
          <w:szCs w:val="24"/>
        </w:rPr>
        <w:t>sign</w:t>
      </w:r>
      <w:r w:rsidR="009D3676">
        <w:rPr>
          <w:rFonts w:ascii="Bodoni MT" w:hAnsi="Bodoni MT"/>
          <w:b/>
          <w:bCs/>
          <w:sz w:val="24"/>
          <w:szCs w:val="24"/>
        </w:rPr>
        <w:t>ée</w:t>
      </w:r>
      <w:r>
        <w:rPr>
          <w:rFonts w:ascii="Bodoni MT" w:hAnsi="Bodoni MT"/>
          <w:b/>
          <w:bCs/>
          <w:sz w:val="24"/>
          <w:szCs w:val="24"/>
        </w:rPr>
        <w:t xml:space="preserve"> </w:t>
      </w:r>
      <w:r w:rsidR="009D3676">
        <w:rPr>
          <w:rFonts w:ascii="Bodoni MT" w:hAnsi="Bodoni MT"/>
          <w:b/>
          <w:bCs/>
          <w:sz w:val="24"/>
          <w:szCs w:val="24"/>
        </w:rPr>
        <w:t>la piétine délibérément chaque jour en Palestine.</w:t>
      </w:r>
      <w:r>
        <w:rPr>
          <w:rFonts w:ascii="Bodoni MT" w:hAnsi="Bodoni MT"/>
          <w:b/>
          <w:bCs/>
          <w:sz w:val="24"/>
          <w:szCs w:val="24"/>
        </w:rPr>
        <w:t xml:space="preserve"> </w:t>
      </w:r>
      <w:r w:rsidR="009D3676">
        <w:rPr>
          <w:rFonts w:ascii="Bodoni MT" w:hAnsi="Bodoni MT"/>
          <w:b/>
          <w:bCs/>
          <w:sz w:val="24"/>
          <w:szCs w:val="24"/>
        </w:rPr>
        <w:t>O</w:t>
      </w:r>
      <w:r>
        <w:rPr>
          <w:rFonts w:ascii="Bodoni MT" w:hAnsi="Bodoni MT"/>
          <w:b/>
          <w:bCs/>
          <w:sz w:val="24"/>
          <w:szCs w:val="24"/>
        </w:rPr>
        <w:t>n mesure une nouvelle fois les limites dramatiques de cette juridiction qui a été privée du pouvoir de faire respecter ses propres ordonnances fussent</w:t>
      </w:r>
      <w:r w:rsidR="005E0433">
        <w:rPr>
          <w:rFonts w:ascii="Bodoni MT" w:hAnsi="Bodoni MT"/>
          <w:b/>
          <w:bCs/>
          <w:sz w:val="24"/>
          <w:szCs w:val="24"/>
        </w:rPr>
        <w:t>-</w:t>
      </w:r>
      <w:r>
        <w:rPr>
          <w:rFonts w:ascii="Bodoni MT" w:hAnsi="Bodoni MT"/>
          <w:b/>
          <w:bCs/>
          <w:sz w:val="24"/>
          <w:szCs w:val="24"/>
        </w:rPr>
        <w:t>elle</w:t>
      </w:r>
      <w:r w:rsidR="009D3676">
        <w:rPr>
          <w:rFonts w:ascii="Bodoni MT" w:hAnsi="Bodoni MT"/>
          <w:b/>
          <w:bCs/>
          <w:sz w:val="24"/>
          <w:szCs w:val="24"/>
        </w:rPr>
        <w:t>s</w:t>
      </w:r>
      <w:r>
        <w:rPr>
          <w:rFonts w:ascii="Bodoni MT" w:hAnsi="Bodoni MT"/>
          <w:b/>
          <w:bCs/>
          <w:sz w:val="24"/>
          <w:szCs w:val="24"/>
        </w:rPr>
        <w:t xml:space="preserve"> le produit </w:t>
      </w:r>
      <w:r w:rsidR="005560B7">
        <w:rPr>
          <w:rFonts w:ascii="Bodoni MT" w:hAnsi="Bodoni MT"/>
          <w:b/>
          <w:bCs/>
          <w:sz w:val="24"/>
          <w:szCs w:val="24"/>
        </w:rPr>
        <w:t xml:space="preserve">très </w:t>
      </w:r>
      <w:r w:rsidR="009D3676">
        <w:rPr>
          <w:rFonts w:ascii="Bodoni MT" w:hAnsi="Bodoni MT"/>
          <w:b/>
          <w:bCs/>
          <w:sz w:val="24"/>
          <w:szCs w:val="24"/>
        </w:rPr>
        <w:t>sérieux</w:t>
      </w:r>
      <w:r w:rsidR="005560B7">
        <w:rPr>
          <w:rFonts w:ascii="Bodoni MT" w:hAnsi="Bodoni MT"/>
          <w:b/>
          <w:bCs/>
          <w:sz w:val="24"/>
          <w:szCs w:val="24"/>
        </w:rPr>
        <w:t xml:space="preserve"> </w:t>
      </w:r>
      <w:r>
        <w:rPr>
          <w:rFonts w:ascii="Bodoni MT" w:hAnsi="Bodoni MT"/>
          <w:b/>
          <w:bCs/>
          <w:sz w:val="24"/>
          <w:szCs w:val="24"/>
        </w:rPr>
        <w:t xml:space="preserve">de mois d’audiences, de recueils de témoignages </w:t>
      </w:r>
      <w:r w:rsidR="005E0433">
        <w:rPr>
          <w:rFonts w:ascii="Bodoni MT" w:hAnsi="Bodoni MT"/>
          <w:b/>
          <w:bCs/>
          <w:sz w:val="24"/>
          <w:szCs w:val="24"/>
        </w:rPr>
        <w:t xml:space="preserve">, d’enquêtes. </w:t>
      </w:r>
    </w:p>
    <w:p w14:paraId="45FB75C7" w14:textId="1690EE3E" w:rsidR="005E0433" w:rsidRDefault="005E0433" w:rsidP="0075502F">
      <w:pPr>
        <w:jc w:val="both"/>
        <w:rPr>
          <w:rFonts w:ascii="Bodoni MT" w:hAnsi="Bodoni MT"/>
          <w:b/>
          <w:bCs/>
          <w:sz w:val="24"/>
          <w:szCs w:val="24"/>
        </w:rPr>
      </w:pPr>
      <w:r>
        <w:rPr>
          <w:rFonts w:ascii="Bodoni MT" w:hAnsi="Bodoni MT"/>
          <w:b/>
          <w:bCs/>
          <w:sz w:val="24"/>
          <w:szCs w:val="24"/>
        </w:rPr>
        <w:t xml:space="preserve">Il reste que les EAU interviennent au Soudan du côté des rebelles </w:t>
      </w:r>
      <w:r w:rsidR="005560B7">
        <w:rPr>
          <w:rFonts w:ascii="Bodoni MT" w:hAnsi="Bodoni MT"/>
          <w:b/>
          <w:bCs/>
          <w:sz w:val="24"/>
          <w:szCs w:val="24"/>
        </w:rPr>
        <w:t xml:space="preserve">( FSR) </w:t>
      </w:r>
      <w:r>
        <w:rPr>
          <w:rFonts w:ascii="Bodoni MT" w:hAnsi="Bodoni MT"/>
          <w:b/>
          <w:bCs/>
          <w:sz w:val="24"/>
          <w:szCs w:val="24"/>
        </w:rPr>
        <w:t xml:space="preserve">qui depuis deux ans combattent militairement le gouvernement officiel du Soudan dans un conflit où les populations civiles sont les premières victimes et que leur adhésion à la Convention contre le génocide n’a </w:t>
      </w:r>
      <w:r w:rsidR="005560B7">
        <w:rPr>
          <w:rFonts w:ascii="Bodoni MT" w:hAnsi="Bodoni MT"/>
          <w:b/>
          <w:bCs/>
          <w:sz w:val="24"/>
          <w:szCs w:val="24"/>
        </w:rPr>
        <w:t>pas freiné</w:t>
      </w:r>
      <w:r>
        <w:rPr>
          <w:rFonts w:ascii="Bodoni MT" w:hAnsi="Bodoni MT"/>
          <w:b/>
          <w:bCs/>
          <w:sz w:val="24"/>
          <w:szCs w:val="24"/>
        </w:rPr>
        <w:t xml:space="preserve"> leur engagement contre un </w:t>
      </w:r>
      <w:r w:rsidR="00023284">
        <w:rPr>
          <w:rFonts w:ascii="Bodoni MT" w:hAnsi="Bodoni MT"/>
          <w:b/>
          <w:bCs/>
          <w:sz w:val="24"/>
          <w:szCs w:val="24"/>
        </w:rPr>
        <w:t>Etat</w:t>
      </w:r>
      <w:r>
        <w:rPr>
          <w:rFonts w:ascii="Bodoni MT" w:hAnsi="Bodoni MT"/>
          <w:b/>
          <w:bCs/>
          <w:sz w:val="24"/>
          <w:szCs w:val="24"/>
        </w:rPr>
        <w:t xml:space="preserve"> étranger dont ils ne sont même pas voisins. </w:t>
      </w:r>
      <w:r w:rsidR="005560B7">
        <w:rPr>
          <w:rFonts w:ascii="Bodoni MT" w:hAnsi="Bodoni MT"/>
          <w:b/>
          <w:bCs/>
          <w:sz w:val="24"/>
          <w:szCs w:val="24"/>
        </w:rPr>
        <w:t>Rien de bien nouveau en vérité.</w:t>
      </w:r>
    </w:p>
    <w:p w14:paraId="7297FF5F" w14:textId="28DE7486" w:rsidR="005E0433" w:rsidRDefault="005560B7" w:rsidP="0075502F">
      <w:pPr>
        <w:jc w:val="both"/>
        <w:rPr>
          <w:rFonts w:ascii="Bodoni MT" w:hAnsi="Bodoni MT"/>
          <w:b/>
          <w:bCs/>
          <w:sz w:val="24"/>
          <w:szCs w:val="24"/>
        </w:rPr>
      </w:pPr>
      <w:r>
        <w:rPr>
          <w:rFonts w:ascii="Bodoni MT" w:hAnsi="Bodoni MT"/>
          <w:b/>
          <w:bCs/>
          <w:sz w:val="24"/>
          <w:szCs w:val="24"/>
        </w:rPr>
        <w:t>En effet i</w:t>
      </w:r>
      <w:r w:rsidR="005E0433">
        <w:rPr>
          <w:rFonts w:ascii="Bodoni MT" w:hAnsi="Bodoni MT"/>
          <w:b/>
          <w:bCs/>
          <w:sz w:val="24"/>
          <w:szCs w:val="24"/>
        </w:rPr>
        <w:t>l ne faut pas oublier qu’ils ont appuyé militairement le gouvernement sécessioniste du Somaliland qui vou</w:t>
      </w:r>
      <w:r w:rsidR="00B15AAC">
        <w:rPr>
          <w:rFonts w:ascii="Bodoni MT" w:hAnsi="Bodoni MT"/>
          <w:b/>
          <w:bCs/>
          <w:sz w:val="24"/>
          <w:szCs w:val="24"/>
        </w:rPr>
        <w:t>dr</w:t>
      </w:r>
      <w:r w:rsidR="005E0433">
        <w:rPr>
          <w:rFonts w:ascii="Bodoni MT" w:hAnsi="Bodoni MT"/>
          <w:b/>
          <w:bCs/>
          <w:sz w:val="24"/>
          <w:szCs w:val="24"/>
        </w:rPr>
        <w:t>ait avec leur soutien arracher son indépendance à la Somalie</w:t>
      </w:r>
      <w:r w:rsidR="0072623E">
        <w:rPr>
          <w:rFonts w:ascii="Bodoni MT" w:hAnsi="Bodoni MT"/>
          <w:b/>
          <w:bCs/>
          <w:sz w:val="24"/>
          <w:szCs w:val="24"/>
        </w:rPr>
        <w:t xml:space="preserve">, le Somaliland indépendant ouvrant alors son territoire à l’Ethiopie qui y aurait installé un grand port dans le Golfe d’Aden. </w:t>
      </w:r>
      <w:r w:rsidR="005E0433">
        <w:rPr>
          <w:rFonts w:ascii="Bodoni MT" w:hAnsi="Bodoni MT"/>
          <w:b/>
          <w:bCs/>
          <w:sz w:val="24"/>
          <w:szCs w:val="24"/>
        </w:rPr>
        <w:t>Le projet n’a pas abouti</w:t>
      </w:r>
      <w:r w:rsidR="00B15AAC">
        <w:rPr>
          <w:rFonts w:ascii="Bodoni MT" w:hAnsi="Bodoni MT"/>
          <w:b/>
          <w:bCs/>
          <w:sz w:val="24"/>
          <w:szCs w:val="24"/>
        </w:rPr>
        <w:t xml:space="preserve"> pour l’instant</w:t>
      </w:r>
      <w:r w:rsidR="005E0433">
        <w:rPr>
          <w:rFonts w:ascii="Bodoni MT" w:hAnsi="Bodoni MT"/>
          <w:b/>
          <w:bCs/>
          <w:sz w:val="24"/>
          <w:szCs w:val="24"/>
        </w:rPr>
        <w:t xml:space="preserve"> </w:t>
      </w:r>
      <w:r w:rsidR="0072623E">
        <w:rPr>
          <w:rFonts w:ascii="Bodoni MT" w:hAnsi="Bodoni MT"/>
          <w:b/>
          <w:bCs/>
          <w:sz w:val="24"/>
          <w:szCs w:val="24"/>
        </w:rPr>
        <w:t xml:space="preserve">l’Ethiopie ayant prudemment évité d’ouvrir ainsi une grave crise régionale.  </w:t>
      </w:r>
    </w:p>
    <w:p w14:paraId="07034953" w14:textId="100AF73E" w:rsidR="00B15AAC" w:rsidRDefault="00B15AAC" w:rsidP="0075502F">
      <w:pPr>
        <w:jc w:val="both"/>
        <w:rPr>
          <w:rFonts w:ascii="Bodoni MT" w:hAnsi="Bodoni MT"/>
          <w:b/>
          <w:bCs/>
          <w:sz w:val="24"/>
          <w:szCs w:val="24"/>
        </w:rPr>
      </w:pPr>
      <w:r>
        <w:rPr>
          <w:rFonts w:ascii="Bodoni MT" w:hAnsi="Bodoni MT"/>
          <w:b/>
          <w:bCs/>
          <w:sz w:val="24"/>
          <w:szCs w:val="24"/>
        </w:rPr>
        <w:t>Les EAU sont ég</w:t>
      </w:r>
      <w:r w:rsidR="00A97A83">
        <w:rPr>
          <w:rFonts w:ascii="Bodoni MT" w:hAnsi="Bodoni MT"/>
          <w:b/>
          <w:bCs/>
          <w:sz w:val="24"/>
          <w:szCs w:val="24"/>
        </w:rPr>
        <w:t>a</w:t>
      </w:r>
      <w:r>
        <w:rPr>
          <w:rFonts w:ascii="Bodoni MT" w:hAnsi="Bodoni MT"/>
          <w:b/>
          <w:bCs/>
          <w:sz w:val="24"/>
          <w:szCs w:val="24"/>
        </w:rPr>
        <w:t xml:space="preserve">lement intervenus militairement en Syrie officiellement </w:t>
      </w:r>
      <w:r w:rsidR="005560B7">
        <w:rPr>
          <w:rFonts w:ascii="Bodoni MT" w:hAnsi="Bodoni MT"/>
          <w:b/>
          <w:bCs/>
          <w:sz w:val="24"/>
          <w:szCs w:val="24"/>
        </w:rPr>
        <w:t xml:space="preserve">du côté de la « coalition » </w:t>
      </w:r>
      <w:r>
        <w:rPr>
          <w:rFonts w:ascii="Bodoni MT" w:hAnsi="Bodoni MT"/>
          <w:b/>
          <w:bCs/>
          <w:sz w:val="24"/>
          <w:szCs w:val="24"/>
        </w:rPr>
        <w:t>contre l’Etat islamique</w:t>
      </w:r>
      <w:r w:rsidR="005560B7">
        <w:rPr>
          <w:rFonts w:ascii="Bodoni MT" w:hAnsi="Bodoni MT"/>
          <w:b/>
          <w:bCs/>
          <w:sz w:val="24"/>
          <w:szCs w:val="24"/>
        </w:rPr>
        <w:t xml:space="preserve"> « coalition</w:t>
      </w:r>
      <w:r w:rsidR="004131CE">
        <w:rPr>
          <w:rFonts w:ascii="Bodoni MT" w:hAnsi="Bodoni MT"/>
          <w:b/>
          <w:bCs/>
          <w:sz w:val="24"/>
          <w:szCs w:val="24"/>
        </w:rPr>
        <w:t> »</w:t>
      </w:r>
      <w:r w:rsidR="005560B7">
        <w:rPr>
          <w:rFonts w:ascii="Bodoni MT" w:hAnsi="Bodoni MT"/>
          <w:b/>
          <w:bCs/>
          <w:sz w:val="24"/>
          <w:szCs w:val="24"/>
        </w:rPr>
        <w:t xml:space="preserve"> otanesque </w:t>
      </w:r>
      <w:r w:rsidR="009A0CCB">
        <w:rPr>
          <w:rFonts w:ascii="Bodoni MT" w:hAnsi="Bodoni MT"/>
          <w:b/>
          <w:bCs/>
          <w:sz w:val="24"/>
          <w:szCs w:val="24"/>
        </w:rPr>
        <w:t>,</w:t>
      </w:r>
      <w:r w:rsidR="005560B7">
        <w:rPr>
          <w:rFonts w:ascii="Bodoni MT" w:hAnsi="Bodoni MT"/>
          <w:b/>
          <w:bCs/>
          <w:sz w:val="24"/>
          <w:szCs w:val="24"/>
        </w:rPr>
        <w:t>France comprise</w:t>
      </w:r>
      <w:r w:rsidR="009A0CCB">
        <w:rPr>
          <w:rFonts w:ascii="Bodoni MT" w:hAnsi="Bodoni MT"/>
          <w:b/>
          <w:bCs/>
          <w:sz w:val="24"/>
          <w:szCs w:val="24"/>
        </w:rPr>
        <w:t>,</w:t>
      </w:r>
      <w:r w:rsidR="005560B7">
        <w:rPr>
          <w:rFonts w:ascii="Bodoni MT" w:hAnsi="Bodoni MT"/>
          <w:b/>
          <w:bCs/>
          <w:sz w:val="24"/>
          <w:szCs w:val="24"/>
        </w:rPr>
        <w:t xml:space="preserve"> </w:t>
      </w:r>
      <w:r w:rsidR="004131CE">
        <w:rPr>
          <w:rFonts w:ascii="Bodoni MT" w:hAnsi="Bodoni MT"/>
          <w:b/>
          <w:bCs/>
          <w:sz w:val="24"/>
          <w:szCs w:val="24"/>
        </w:rPr>
        <w:t xml:space="preserve">intervenue militairement sur le territoire d’un Etat souverain sans l‘accord de celui-ci </w:t>
      </w:r>
      <w:r>
        <w:rPr>
          <w:rFonts w:ascii="Bodoni MT" w:hAnsi="Bodoni MT"/>
          <w:b/>
          <w:bCs/>
          <w:sz w:val="24"/>
          <w:szCs w:val="24"/>
        </w:rPr>
        <w:t>mais leur engagement le plus important a été en Libye où ils ont pris une place importante dans la destruction de l’Etat libyen par l’OTAN en 2011</w:t>
      </w:r>
      <w:r w:rsidR="00EB64D2">
        <w:rPr>
          <w:rFonts w:ascii="Bodoni MT" w:hAnsi="Bodoni MT"/>
          <w:b/>
          <w:bCs/>
          <w:sz w:val="24"/>
          <w:szCs w:val="24"/>
        </w:rPr>
        <w:t xml:space="preserve"> et où ils pèseront dans l’éventuelle mise en place d’un </w:t>
      </w:r>
      <w:r w:rsidR="00D026BA">
        <w:rPr>
          <w:rFonts w:ascii="Bodoni MT" w:hAnsi="Bodoni MT"/>
          <w:b/>
          <w:bCs/>
          <w:sz w:val="24"/>
          <w:szCs w:val="24"/>
        </w:rPr>
        <w:t xml:space="preserve">nouveau </w:t>
      </w:r>
      <w:r w:rsidR="00EB64D2">
        <w:rPr>
          <w:rFonts w:ascii="Bodoni MT" w:hAnsi="Bodoni MT"/>
          <w:b/>
          <w:bCs/>
          <w:sz w:val="24"/>
          <w:szCs w:val="24"/>
        </w:rPr>
        <w:t>gouvernement national souverain</w:t>
      </w:r>
    </w:p>
    <w:p w14:paraId="3AC6951B" w14:textId="6E867C78" w:rsidR="00B15AAC" w:rsidRDefault="00B15AAC" w:rsidP="0075502F">
      <w:pPr>
        <w:jc w:val="both"/>
        <w:rPr>
          <w:rFonts w:ascii="Bodoni MT" w:hAnsi="Bodoni MT"/>
          <w:b/>
          <w:bCs/>
          <w:sz w:val="24"/>
          <w:szCs w:val="24"/>
        </w:rPr>
      </w:pPr>
      <w:r>
        <w:rPr>
          <w:rFonts w:ascii="Bodoni MT" w:hAnsi="Bodoni MT"/>
          <w:b/>
          <w:bCs/>
          <w:sz w:val="24"/>
          <w:szCs w:val="24"/>
        </w:rPr>
        <w:t>Plus encore que l’Arabie Saoudite les EAU peuvent mettre leurs énormes moyens financiers et le</w:t>
      </w:r>
      <w:r w:rsidR="00D026BA">
        <w:rPr>
          <w:rFonts w:ascii="Bodoni MT" w:hAnsi="Bodoni MT"/>
          <w:b/>
          <w:bCs/>
          <w:sz w:val="24"/>
          <w:szCs w:val="24"/>
        </w:rPr>
        <w:t>ur</w:t>
      </w:r>
      <w:r>
        <w:rPr>
          <w:rFonts w:ascii="Bodoni MT" w:hAnsi="Bodoni MT"/>
          <w:b/>
          <w:bCs/>
          <w:sz w:val="24"/>
          <w:szCs w:val="24"/>
        </w:rPr>
        <w:t xml:space="preserve"> force militaire principaleme</w:t>
      </w:r>
      <w:r w:rsidR="00A97A83">
        <w:rPr>
          <w:rFonts w:ascii="Bodoni MT" w:hAnsi="Bodoni MT"/>
          <w:b/>
          <w:bCs/>
          <w:sz w:val="24"/>
          <w:szCs w:val="24"/>
        </w:rPr>
        <w:t xml:space="preserve">nt </w:t>
      </w:r>
      <w:r>
        <w:rPr>
          <w:rFonts w:ascii="Bodoni MT" w:hAnsi="Bodoni MT"/>
          <w:b/>
          <w:bCs/>
          <w:sz w:val="24"/>
          <w:szCs w:val="24"/>
        </w:rPr>
        <w:t xml:space="preserve">aérienne au service </w:t>
      </w:r>
      <w:r w:rsidR="00B77755">
        <w:rPr>
          <w:rFonts w:ascii="Bodoni MT" w:hAnsi="Bodoni MT"/>
          <w:b/>
          <w:bCs/>
          <w:sz w:val="24"/>
          <w:szCs w:val="24"/>
        </w:rPr>
        <w:t xml:space="preserve">de </w:t>
      </w:r>
      <w:r>
        <w:rPr>
          <w:rFonts w:ascii="Bodoni MT" w:hAnsi="Bodoni MT"/>
          <w:b/>
          <w:bCs/>
          <w:sz w:val="24"/>
          <w:szCs w:val="24"/>
        </w:rPr>
        <w:t>la politique impérialiste/étasunienne dans tout le monde arabe. Cet engagement ne pose aucun problème politique à cette monarchie</w:t>
      </w:r>
      <w:r w:rsidR="0094639F">
        <w:rPr>
          <w:rFonts w:ascii="Bodoni MT" w:hAnsi="Bodoni MT"/>
          <w:b/>
          <w:bCs/>
          <w:sz w:val="24"/>
          <w:szCs w:val="24"/>
        </w:rPr>
        <w:t xml:space="preserve"> septième producteur </w:t>
      </w:r>
      <w:r w:rsidR="009D3676">
        <w:rPr>
          <w:rFonts w:ascii="Bodoni MT" w:hAnsi="Bodoni MT"/>
          <w:b/>
          <w:bCs/>
          <w:sz w:val="24"/>
          <w:szCs w:val="24"/>
        </w:rPr>
        <w:t>mondial de</w:t>
      </w:r>
      <w:r w:rsidR="0094639F">
        <w:rPr>
          <w:rFonts w:ascii="Bodoni MT" w:hAnsi="Bodoni MT"/>
          <w:b/>
          <w:bCs/>
          <w:sz w:val="24"/>
          <w:szCs w:val="24"/>
        </w:rPr>
        <w:t xml:space="preserve"> pétrole</w:t>
      </w:r>
      <w:r>
        <w:rPr>
          <w:rFonts w:ascii="Bodoni MT" w:hAnsi="Bodoni MT"/>
          <w:b/>
          <w:bCs/>
          <w:sz w:val="24"/>
          <w:szCs w:val="24"/>
        </w:rPr>
        <w:t xml:space="preserve"> qui dirige un pays </w:t>
      </w:r>
      <w:r>
        <w:rPr>
          <w:rFonts w:ascii="Bodoni MT" w:hAnsi="Bodoni MT"/>
          <w:b/>
          <w:bCs/>
          <w:sz w:val="24"/>
          <w:szCs w:val="24"/>
        </w:rPr>
        <w:lastRenderedPageBreak/>
        <w:t xml:space="preserve">d’environ 10 millions d’habitants dont 90% </w:t>
      </w:r>
      <w:r w:rsidR="00A97A83">
        <w:rPr>
          <w:rFonts w:ascii="Bodoni MT" w:hAnsi="Bodoni MT"/>
          <w:b/>
          <w:bCs/>
          <w:sz w:val="24"/>
          <w:szCs w:val="24"/>
        </w:rPr>
        <w:t xml:space="preserve">sont un prolétariat sans droits étroitement surveillé et divisé entre plusieurs origines  (Pakistan, Afghanistan, </w:t>
      </w:r>
      <w:r w:rsidR="005560B7">
        <w:rPr>
          <w:rFonts w:ascii="Bodoni MT" w:hAnsi="Bodoni MT"/>
          <w:b/>
          <w:bCs/>
          <w:sz w:val="24"/>
          <w:szCs w:val="24"/>
        </w:rPr>
        <w:t>Bangladesh</w:t>
      </w:r>
      <w:r w:rsidR="00A97A83">
        <w:rPr>
          <w:rFonts w:ascii="Bodoni MT" w:hAnsi="Bodoni MT"/>
          <w:b/>
          <w:bCs/>
          <w:sz w:val="24"/>
          <w:szCs w:val="24"/>
        </w:rPr>
        <w:t>, Philippines …) rendant très difficile toute action de classe</w:t>
      </w:r>
      <w:r w:rsidR="009A0CCB">
        <w:rPr>
          <w:rFonts w:ascii="Bodoni MT" w:hAnsi="Bodoni MT"/>
          <w:b/>
          <w:bCs/>
          <w:sz w:val="24"/>
          <w:szCs w:val="24"/>
        </w:rPr>
        <w:t>.</w:t>
      </w:r>
    </w:p>
    <w:p w14:paraId="2BC6A2FF" w14:textId="5B19AAF2" w:rsidR="00A97A83" w:rsidRDefault="00A97A83" w:rsidP="0075502F">
      <w:pPr>
        <w:jc w:val="both"/>
        <w:rPr>
          <w:rFonts w:ascii="Bodoni MT" w:hAnsi="Bodoni MT"/>
          <w:b/>
          <w:bCs/>
          <w:sz w:val="24"/>
          <w:szCs w:val="24"/>
        </w:rPr>
      </w:pPr>
      <w:r>
        <w:rPr>
          <w:rFonts w:ascii="Bodoni MT" w:hAnsi="Bodoni MT"/>
          <w:b/>
          <w:bCs/>
          <w:sz w:val="24"/>
          <w:szCs w:val="24"/>
        </w:rPr>
        <w:t>En tant que sous</w:t>
      </w:r>
      <w:r w:rsidR="009A0CCB">
        <w:rPr>
          <w:rFonts w:ascii="Bodoni MT" w:hAnsi="Bodoni MT"/>
          <w:b/>
          <w:bCs/>
          <w:sz w:val="24"/>
          <w:szCs w:val="24"/>
        </w:rPr>
        <w:t>-</w:t>
      </w:r>
      <w:r>
        <w:rPr>
          <w:rFonts w:ascii="Bodoni MT" w:hAnsi="Bodoni MT"/>
          <w:b/>
          <w:bCs/>
          <w:sz w:val="24"/>
          <w:szCs w:val="24"/>
        </w:rPr>
        <w:t xml:space="preserve">impérialisme la France a depuis Sarkozy </w:t>
      </w:r>
      <w:r w:rsidR="009A0CCB">
        <w:rPr>
          <w:rFonts w:ascii="Bodoni MT" w:hAnsi="Bodoni MT"/>
          <w:b/>
          <w:bCs/>
          <w:sz w:val="24"/>
          <w:szCs w:val="24"/>
        </w:rPr>
        <w:t xml:space="preserve">des liens étroits avec les EAU à qui elle vend beaucoup de matériel militaire (avions et blindés) </w:t>
      </w:r>
      <w:r w:rsidR="009A0CCB">
        <w:rPr>
          <w:rFonts w:ascii="Bodoni MT" w:hAnsi="Bodoni MT"/>
          <w:b/>
          <w:bCs/>
          <w:sz w:val="24"/>
          <w:szCs w:val="24"/>
        </w:rPr>
        <w:t>et où elle</w:t>
      </w:r>
      <w:r>
        <w:rPr>
          <w:rFonts w:ascii="Bodoni MT" w:hAnsi="Bodoni MT"/>
          <w:b/>
          <w:bCs/>
          <w:sz w:val="24"/>
          <w:szCs w:val="24"/>
        </w:rPr>
        <w:t xml:space="preserve"> a installé une grande base militaire remplaçant la base ancienne de </w:t>
      </w:r>
      <w:r w:rsidR="005560B7">
        <w:rPr>
          <w:rFonts w:ascii="Bodoni MT" w:hAnsi="Bodoni MT"/>
          <w:b/>
          <w:bCs/>
          <w:sz w:val="24"/>
          <w:szCs w:val="24"/>
        </w:rPr>
        <w:t>Djibouti</w:t>
      </w:r>
      <w:r>
        <w:rPr>
          <w:rFonts w:ascii="Bodoni MT" w:hAnsi="Bodoni MT"/>
          <w:b/>
          <w:bCs/>
          <w:sz w:val="24"/>
          <w:szCs w:val="24"/>
        </w:rPr>
        <w:t xml:space="preserve"> </w:t>
      </w:r>
      <w:r w:rsidR="009A0CCB">
        <w:rPr>
          <w:rFonts w:ascii="Bodoni MT" w:hAnsi="Bodoni MT"/>
          <w:b/>
          <w:bCs/>
          <w:sz w:val="24"/>
          <w:szCs w:val="24"/>
        </w:rPr>
        <w:t xml:space="preserve">. Depuis cette base et son annexe au nord du territoire jordanien les chasseurs-bombardiers français pouvaient frapper l’Etat islamique en Syrie. </w:t>
      </w:r>
    </w:p>
    <w:p w14:paraId="0013AC1B" w14:textId="77777777" w:rsidR="00023284" w:rsidRDefault="00A97A83" w:rsidP="0075502F">
      <w:pPr>
        <w:jc w:val="both"/>
        <w:rPr>
          <w:rFonts w:ascii="Bodoni MT" w:hAnsi="Bodoni MT"/>
          <w:b/>
          <w:bCs/>
          <w:sz w:val="24"/>
          <w:szCs w:val="24"/>
        </w:rPr>
      </w:pPr>
      <w:r>
        <w:rPr>
          <w:rFonts w:ascii="Bodoni MT" w:hAnsi="Bodoni MT"/>
          <w:b/>
          <w:bCs/>
          <w:sz w:val="24"/>
          <w:szCs w:val="24"/>
        </w:rPr>
        <w:br/>
      </w:r>
      <w:r w:rsidR="004131CE">
        <w:rPr>
          <w:rFonts w:ascii="Bodoni MT" w:hAnsi="Bodoni MT"/>
          <w:b/>
          <w:bCs/>
          <w:sz w:val="24"/>
          <w:szCs w:val="24"/>
        </w:rPr>
        <w:t xml:space="preserve">Peu critiqués au niveau international </w:t>
      </w:r>
      <w:r w:rsidR="0094639F">
        <w:rPr>
          <w:rFonts w:ascii="Bodoni MT" w:hAnsi="Bodoni MT"/>
          <w:b/>
          <w:bCs/>
          <w:sz w:val="24"/>
          <w:szCs w:val="24"/>
        </w:rPr>
        <w:t>l</w:t>
      </w:r>
      <w:r>
        <w:rPr>
          <w:rFonts w:ascii="Bodoni MT" w:hAnsi="Bodoni MT"/>
          <w:b/>
          <w:bCs/>
          <w:sz w:val="24"/>
          <w:szCs w:val="24"/>
        </w:rPr>
        <w:t>es E</w:t>
      </w:r>
      <w:r w:rsidR="009A0CCB">
        <w:rPr>
          <w:rFonts w:ascii="Bodoni MT" w:hAnsi="Bodoni MT"/>
          <w:b/>
          <w:bCs/>
          <w:sz w:val="24"/>
          <w:szCs w:val="24"/>
        </w:rPr>
        <w:t>AU</w:t>
      </w:r>
      <w:r>
        <w:rPr>
          <w:rFonts w:ascii="Bodoni MT" w:hAnsi="Bodoni MT"/>
          <w:b/>
          <w:bCs/>
          <w:sz w:val="24"/>
          <w:szCs w:val="24"/>
        </w:rPr>
        <w:t xml:space="preserve"> peuvent </w:t>
      </w:r>
      <w:r w:rsidR="00B77755">
        <w:rPr>
          <w:rFonts w:ascii="Bodoni MT" w:hAnsi="Bodoni MT"/>
          <w:b/>
          <w:bCs/>
          <w:sz w:val="24"/>
          <w:szCs w:val="24"/>
        </w:rPr>
        <w:t xml:space="preserve">donc </w:t>
      </w:r>
      <w:r>
        <w:rPr>
          <w:rFonts w:ascii="Bodoni MT" w:hAnsi="Bodoni MT"/>
          <w:b/>
          <w:bCs/>
          <w:sz w:val="24"/>
          <w:szCs w:val="24"/>
        </w:rPr>
        <w:t>génocider sans risque.</w:t>
      </w:r>
      <w:r w:rsidR="00B77755">
        <w:rPr>
          <w:rFonts w:ascii="Bodoni MT" w:hAnsi="Bodoni MT"/>
          <w:b/>
          <w:bCs/>
          <w:sz w:val="24"/>
          <w:szCs w:val="24"/>
        </w:rPr>
        <w:t xml:space="preserve"> Le Soudan a présenté à la CIJ des documents attestant le massacre de plusieurs milliers de Massalit sur le sol soudanais. Pour échapper à une mort certaine 450000 Massalit </w:t>
      </w:r>
      <w:r w:rsidR="00EB64D2">
        <w:rPr>
          <w:rFonts w:ascii="Bodoni MT" w:hAnsi="Bodoni MT"/>
          <w:b/>
          <w:bCs/>
          <w:sz w:val="24"/>
          <w:szCs w:val="24"/>
        </w:rPr>
        <w:t xml:space="preserve">du Darfour </w:t>
      </w:r>
      <w:r w:rsidR="00B77755">
        <w:rPr>
          <w:rFonts w:ascii="Bodoni MT" w:hAnsi="Bodoni MT"/>
          <w:b/>
          <w:bCs/>
          <w:sz w:val="24"/>
          <w:szCs w:val="24"/>
        </w:rPr>
        <w:t>ont fui</w:t>
      </w:r>
      <w:r w:rsidR="00EB64D2">
        <w:rPr>
          <w:rFonts w:ascii="Bodoni MT" w:hAnsi="Bodoni MT"/>
          <w:b/>
          <w:bCs/>
          <w:sz w:val="24"/>
          <w:szCs w:val="24"/>
        </w:rPr>
        <w:t xml:space="preserve"> au Tchad.</w:t>
      </w:r>
      <w:r w:rsidR="005560B7">
        <w:rPr>
          <w:rFonts w:ascii="Bodoni MT" w:hAnsi="Bodoni MT"/>
          <w:b/>
          <w:bCs/>
          <w:sz w:val="24"/>
          <w:szCs w:val="24"/>
        </w:rPr>
        <w:t xml:space="preserve"> L’ONU dont la juridiction est statutairement impuissante observe </w:t>
      </w:r>
      <w:r w:rsidR="004131CE">
        <w:rPr>
          <w:rFonts w:ascii="Bodoni MT" w:hAnsi="Bodoni MT"/>
          <w:b/>
          <w:bCs/>
          <w:sz w:val="24"/>
          <w:szCs w:val="24"/>
        </w:rPr>
        <w:t xml:space="preserve">et </w:t>
      </w:r>
      <w:r w:rsidR="005560B7">
        <w:rPr>
          <w:rFonts w:ascii="Bodoni MT" w:hAnsi="Bodoni MT"/>
          <w:b/>
          <w:bCs/>
          <w:sz w:val="24"/>
          <w:szCs w:val="24"/>
        </w:rPr>
        <w:t xml:space="preserve">lance des messages d’alerte. </w:t>
      </w:r>
    </w:p>
    <w:p w14:paraId="5AD53715" w14:textId="106EC114" w:rsidR="00A97A83" w:rsidRDefault="00023284" w:rsidP="0075502F">
      <w:pPr>
        <w:jc w:val="both"/>
        <w:rPr>
          <w:rFonts w:ascii="Bodoni MT" w:hAnsi="Bodoni MT"/>
          <w:b/>
          <w:bCs/>
          <w:sz w:val="24"/>
          <w:szCs w:val="24"/>
        </w:rPr>
      </w:pPr>
      <w:r>
        <w:rPr>
          <w:rFonts w:ascii="Bodoni MT" w:hAnsi="Bodoni MT"/>
          <w:b/>
          <w:bCs/>
          <w:sz w:val="24"/>
          <w:szCs w:val="24"/>
        </w:rPr>
        <w:t>Mais g</w:t>
      </w:r>
      <w:r w:rsidR="004131CE">
        <w:rPr>
          <w:rFonts w:ascii="Bodoni MT" w:hAnsi="Bodoni MT"/>
          <w:b/>
          <w:bCs/>
          <w:sz w:val="24"/>
          <w:szCs w:val="24"/>
        </w:rPr>
        <w:t>orgés de kérosène maison les F16 émiratis bombardent.</w:t>
      </w:r>
      <w:r w:rsidR="00A97A83">
        <w:rPr>
          <w:rFonts w:ascii="Bodoni MT" w:hAnsi="Bodoni MT"/>
          <w:b/>
          <w:bCs/>
          <w:sz w:val="24"/>
          <w:szCs w:val="24"/>
        </w:rPr>
        <w:t xml:space="preserve"> </w:t>
      </w:r>
      <w:r w:rsidR="0094639F">
        <w:rPr>
          <w:rFonts w:ascii="Bodoni MT" w:hAnsi="Bodoni MT"/>
          <w:b/>
          <w:bCs/>
          <w:sz w:val="24"/>
          <w:szCs w:val="24"/>
        </w:rPr>
        <w:t xml:space="preserve">Ces monarques ploutocrates constituent la force de </w:t>
      </w:r>
      <w:r>
        <w:rPr>
          <w:rFonts w:ascii="Bodoni MT" w:hAnsi="Bodoni MT"/>
          <w:b/>
          <w:bCs/>
          <w:sz w:val="24"/>
          <w:szCs w:val="24"/>
        </w:rPr>
        <w:t>gendarmerie</w:t>
      </w:r>
      <w:r w:rsidR="0094639F">
        <w:rPr>
          <w:rFonts w:ascii="Bodoni MT" w:hAnsi="Bodoni MT"/>
          <w:b/>
          <w:bCs/>
          <w:sz w:val="24"/>
          <w:szCs w:val="24"/>
        </w:rPr>
        <w:t xml:space="preserve"> régionale au service d’un arabisme réactionnaire</w:t>
      </w:r>
      <w:r w:rsidR="00B77755">
        <w:rPr>
          <w:rFonts w:ascii="Bodoni MT" w:hAnsi="Bodoni MT"/>
          <w:b/>
          <w:bCs/>
          <w:sz w:val="24"/>
          <w:szCs w:val="24"/>
        </w:rPr>
        <w:t xml:space="preserve"> </w:t>
      </w:r>
      <w:r w:rsidR="0094639F">
        <w:rPr>
          <w:rFonts w:ascii="Bodoni MT" w:hAnsi="Bodoni MT"/>
          <w:b/>
          <w:bCs/>
          <w:sz w:val="24"/>
          <w:szCs w:val="24"/>
        </w:rPr>
        <w:t xml:space="preserve">qui s’oppose à tout régime arabe républicain </w:t>
      </w:r>
      <w:r w:rsidR="009D3676">
        <w:rPr>
          <w:rFonts w:ascii="Bodoni MT" w:hAnsi="Bodoni MT"/>
          <w:b/>
          <w:bCs/>
          <w:sz w:val="24"/>
          <w:szCs w:val="24"/>
        </w:rPr>
        <w:t>laïc</w:t>
      </w:r>
      <w:r w:rsidR="0094639F">
        <w:rPr>
          <w:rFonts w:ascii="Bodoni MT" w:hAnsi="Bodoni MT"/>
          <w:b/>
          <w:bCs/>
          <w:sz w:val="24"/>
          <w:szCs w:val="24"/>
        </w:rPr>
        <w:t xml:space="preserve"> et favorise le nouveau gouvernement syrien djihadiste.</w:t>
      </w:r>
      <w:r>
        <w:rPr>
          <w:rFonts w:ascii="Bodoni MT" w:hAnsi="Bodoni MT"/>
          <w:b/>
          <w:bCs/>
          <w:sz w:val="24"/>
          <w:szCs w:val="24"/>
        </w:rPr>
        <w:t xml:space="preserve"> En cela ces régimes sont les dévoués laquais locaux de Trump qui est venu les honorer de sa présence et marquer sa satisfaction de les voir appliquer à leurs frais sa politique. </w:t>
      </w:r>
    </w:p>
    <w:p w14:paraId="5494F289" w14:textId="3658D23C" w:rsidR="00A97A83" w:rsidRPr="00221699" w:rsidRDefault="00A97A83" w:rsidP="0075502F">
      <w:pPr>
        <w:jc w:val="both"/>
        <w:rPr>
          <w:rFonts w:ascii="Bodoni MT" w:hAnsi="Bodoni MT"/>
          <w:b/>
          <w:bCs/>
          <w:sz w:val="24"/>
          <w:szCs w:val="24"/>
        </w:rPr>
      </w:pPr>
    </w:p>
    <w:sectPr w:rsidR="00A97A83" w:rsidRPr="00221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MT">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2F"/>
    <w:rsid w:val="00023284"/>
    <w:rsid w:val="00040194"/>
    <w:rsid w:val="000C6EDA"/>
    <w:rsid w:val="000D7858"/>
    <w:rsid w:val="000E5AF5"/>
    <w:rsid w:val="00221699"/>
    <w:rsid w:val="003F30FC"/>
    <w:rsid w:val="004131CE"/>
    <w:rsid w:val="004302FC"/>
    <w:rsid w:val="00546C64"/>
    <w:rsid w:val="005560B7"/>
    <w:rsid w:val="005E0433"/>
    <w:rsid w:val="005E6849"/>
    <w:rsid w:val="0072623E"/>
    <w:rsid w:val="0075502F"/>
    <w:rsid w:val="00862B20"/>
    <w:rsid w:val="0094639F"/>
    <w:rsid w:val="009A0CCB"/>
    <w:rsid w:val="009D3676"/>
    <w:rsid w:val="00A738CD"/>
    <w:rsid w:val="00A97A83"/>
    <w:rsid w:val="00B15AAC"/>
    <w:rsid w:val="00B77755"/>
    <w:rsid w:val="00C9778E"/>
    <w:rsid w:val="00D026BA"/>
    <w:rsid w:val="00EB64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AE4D3"/>
  <w15:chartTrackingRefBased/>
  <w15:docId w15:val="{59D6F547-E3FD-4CEC-BBD9-84D64FB9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550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550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5502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5502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5502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5502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5502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5502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5502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5502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5502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5502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5502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5502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5502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5502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5502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5502F"/>
    <w:rPr>
      <w:rFonts w:eastAsiaTheme="majorEastAsia" w:cstheme="majorBidi"/>
      <w:color w:val="272727" w:themeColor="text1" w:themeTint="D8"/>
    </w:rPr>
  </w:style>
  <w:style w:type="paragraph" w:styleId="Titre">
    <w:name w:val="Title"/>
    <w:basedOn w:val="Normal"/>
    <w:next w:val="Normal"/>
    <w:link w:val="TitreCar"/>
    <w:uiPriority w:val="10"/>
    <w:qFormat/>
    <w:rsid w:val="00755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5502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5502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5502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5502F"/>
    <w:pPr>
      <w:spacing w:before="160"/>
      <w:jc w:val="center"/>
    </w:pPr>
    <w:rPr>
      <w:i/>
      <w:iCs/>
      <w:color w:val="404040" w:themeColor="text1" w:themeTint="BF"/>
    </w:rPr>
  </w:style>
  <w:style w:type="character" w:customStyle="1" w:styleId="CitationCar">
    <w:name w:val="Citation Car"/>
    <w:basedOn w:val="Policepardfaut"/>
    <w:link w:val="Citation"/>
    <w:uiPriority w:val="29"/>
    <w:rsid w:val="0075502F"/>
    <w:rPr>
      <w:i/>
      <w:iCs/>
      <w:color w:val="404040" w:themeColor="text1" w:themeTint="BF"/>
    </w:rPr>
  </w:style>
  <w:style w:type="paragraph" w:styleId="Paragraphedeliste">
    <w:name w:val="List Paragraph"/>
    <w:basedOn w:val="Normal"/>
    <w:uiPriority w:val="34"/>
    <w:qFormat/>
    <w:rsid w:val="0075502F"/>
    <w:pPr>
      <w:ind w:left="720"/>
      <w:contextualSpacing/>
    </w:pPr>
  </w:style>
  <w:style w:type="character" w:styleId="Accentuationintense">
    <w:name w:val="Intense Emphasis"/>
    <w:basedOn w:val="Policepardfaut"/>
    <w:uiPriority w:val="21"/>
    <w:qFormat/>
    <w:rsid w:val="0075502F"/>
    <w:rPr>
      <w:i/>
      <w:iCs/>
      <w:color w:val="2F5496" w:themeColor="accent1" w:themeShade="BF"/>
    </w:rPr>
  </w:style>
  <w:style w:type="paragraph" w:styleId="Citationintense">
    <w:name w:val="Intense Quote"/>
    <w:basedOn w:val="Normal"/>
    <w:next w:val="Normal"/>
    <w:link w:val="CitationintenseCar"/>
    <w:uiPriority w:val="30"/>
    <w:qFormat/>
    <w:rsid w:val="007550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5502F"/>
    <w:rPr>
      <w:i/>
      <w:iCs/>
      <w:color w:val="2F5496" w:themeColor="accent1" w:themeShade="BF"/>
    </w:rPr>
  </w:style>
  <w:style w:type="character" w:styleId="Rfrenceintense">
    <w:name w:val="Intense Reference"/>
    <w:basedOn w:val="Policepardfaut"/>
    <w:uiPriority w:val="32"/>
    <w:qFormat/>
    <w:rsid w:val="007550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1078</Words>
  <Characters>5932</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genet bernard</dc:creator>
  <cp:keywords/>
  <dc:description/>
  <cp:lastModifiedBy>genet bernard</cp:lastModifiedBy>
  <cp:revision>2</cp:revision>
  <dcterms:created xsi:type="dcterms:W3CDTF">2025-05-18T11:03:00Z</dcterms:created>
  <dcterms:modified xsi:type="dcterms:W3CDTF">2025-05-18T11:03:00Z</dcterms:modified>
</cp:coreProperties>
</file>