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9134" w14:textId="77777777" w:rsidR="00EF7CA3" w:rsidRPr="00EF7CA3" w:rsidRDefault="002E4EC2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b/>
          <w:color w:val="211D1E"/>
        </w:rPr>
      </w:pPr>
      <w:r>
        <w:rPr>
          <w:rFonts w:asciiTheme="minorHAnsi" w:hAnsiTheme="minorHAnsi" w:cstheme="minorHAnsi"/>
          <w:b/>
          <w:color w:val="211D1E"/>
        </w:rPr>
        <w:t>Le blé ukrainien est-il américain ?</w:t>
      </w:r>
    </w:p>
    <w:p w14:paraId="67DF3854" w14:textId="77777777" w:rsidR="00C42B5F" w:rsidRPr="00CD37EC" w:rsidRDefault="00C42B5F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Depuis l’entrée en vigueur de la loi sur la vente des terres agricoles il y a exactement un an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trois grandes corporations transnationales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étatsuniennes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ont acquis pratiquement un tiers des terres cultivables ukrainiennes. 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>Selon l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a « A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ustralian national review » les étatsuniens 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possé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de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rai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ent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désormais 17 millions des 62 millions d’hectares de l’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>Ukrain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>e</w:t>
      </w:r>
      <w:r w:rsidR="006B79A6">
        <w:rPr>
          <w:rFonts w:asciiTheme="minorHAnsi" w:hAnsiTheme="minorHAnsi" w:cstheme="minorHAnsi"/>
          <w:color w:val="211D1E"/>
          <w:sz w:val="22"/>
          <w:szCs w:val="22"/>
        </w:rPr>
        <w:t xml:space="preserve"> (superficie totale du pays)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 ; 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28%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 de l’Ukraine serait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 xml:space="preserve">donc 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>américaine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>!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 </w:t>
      </w:r>
    </w:p>
    <w:p w14:paraId="7980DBF1" w14:textId="77777777" w:rsidR="00C42B5F" w:rsidRPr="00CD37EC" w:rsidRDefault="00C42B5F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Les acheteurs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>, les propriétaires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sont des firmes 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étatsuniennes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bien connues puisqu’il s’agit de Cargill, Dupont et Monsanto. Ce qui cependant est moins bien connu c’est </w:t>
      </w:r>
      <w:r w:rsidR="00394BE6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que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derrière ces enseignes célèbres </w:t>
      </w:r>
      <w:r w:rsidR="00394BE6" w:rsidRPr="00CD37EC">
        <w:rPr>
          <w:rFonts w:asciiTheme="minorHAnsi" w:hAnsiTheme="minorHAnsi" w:cstheme="minorHAnsi"/>
          <w:color w:val="211D1E"/>
          <w:sz w:val="22"/>
          <w:szCs w:val="22"/>
        </w:rPr>
        <w:t>ayant pignon sur rue apparaissent des fonds d’investissements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– structures financières quelque peu obscures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caractéristiques de l’agiotage « new age »-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. 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>Celles-ci, p</w:t>
      </w:r>
      <w:r w:rsidR="00394BE6" w:rsidRPr="00CD37EC">
        <w:rPr>
          <w:rFonts w:asciiTheme="minorHAnsi" w:hAnsiTheme="minorHAnsi" w:cstheme="minorHAnsi"/>
          <w:color w:val="211D1E"/>
          <w:sz w:val="22"/>
          <w:szCs w:val="22"/>
        </w:rPr>
        <w:t>assablement obscures mais puissantissimes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="00394BE6" w:rsidRPr="00CD37EC">
        <w:rPr>
          <w:rFonts w:asciiTheme="minorHAnsi" w:hAnsiTheme="minorHAnsi" w:cstheme="minorHAnsi"/>
          <w:color w:val="211D1E"/>
          <w:sz w:val="22"/>
          <w:szCs w:val="22"/>
        </w:rPr>
        <w:t> 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>disposent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-elles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de capitaux qui 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font tourner la tête 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>se chiffr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>a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>nt en trillions (c’e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st-à-dire en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milliers de milliards) de dollars. Au nombre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de celles</w:t>
      </w:r>
      <w:r w:rsidR="00C7403E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qui opèrent en Ukraine on compte en particulier Vanguard, Blackstone et Blackrock dont les capitaux sont respectivement dix, six et 0.9 trillions de dollars.   </w:t>
      </w:r>
    </w:p>
    <w:p w14:paraId="5F82B3F2" w14:textId="77777777" w:rsidR="00C7403E" w:rsidRPr="00CD37EC" w:rsidRDefault="00C7403E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Pour donner la mesure</w:t>
      </w:r>
      <w:r w:rsidR="00143AA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de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593E41" w:rsidRPr="00CD37EC">
        <w:rPr>
          <w:rFonts w:asciiTheme="minorHAnsi" w:hAnsiTheme="minorHAnsi" w:cstheme="minorHAnsi"/>
          <w:color w:val="211D1E"/>
          <w:sz w:val="22"/>
          <w:szCs w:val="22"/>
        </w:rPr>
        <w:t>l’état des choses, la revue australienne mentionne l’exemple de l’</w:t>
      </w:r>
      <w:r w:rsidR="00143AA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Italie où les terres cultivables représentent 16.7 millions d’hectares. Ainsi, le pouvoir des marionnettes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kiéviennes</w:t>
      </w:r>
      <w:r w:rsidR="00143AA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a fait en sorte que trois compagnies étatsuniennes possède</w:t>
      </w:r>
      <w:r w:rsidR="006B79A6">
        <w:rPr>
          <w:rFonts w:asciiTheme="minorHAnsi" w:hAnsiTheme="minorHAnsi" w:cstheme="minorHAnsi"/>
          <w:color w:val="211D1E"/>
          <w:sz w:val="22"/>
          <w:szCs w:val="22"/>
        </w:rPr>
        <w:t xml:space="preserve">nt désormais 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en Ukraine 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>plus de terres cultivables que l’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Italie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membre du G7. </w:t>
      </w:r>
    </w:p>
    <w:p w14:paraId="343E2D72" w14:textId="77777777" w:rsidR="00CD37EC" w:rsidRDefault="00CD37EC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>Du coup, lorsqu’on évoque le blé ukrainien et son exportation, la question se pose de quoi parle-t-on exactement</w:t>
      </w:r>
      <w:r w:rsidR="006B79A6">
        <w:rPr>
          <w:rFonts w:asciiTheme="minorHAnsi" w:hAnsiTheme="minorHAnsi" w:cstheme="minorHAnsi"/>
          <w:color w:val="211D1E"/>
          <w:sz w:val="22"/>
          <w:szCs w:val="22"/>
        </w:rPr>
        <w:t xml:space="preserve"> ? Pourquoi omet-on </w:t>
      </w:r>
      <w:r w:rsidR="00933BD1">
        <w:rPr>
          <w:rFonts w:asciiTheme="minorHAnsi" w:hAnsiTheme="minorHAnsi" w:cstheme="minorHAnsi"/>
          <w:color w:val="211D1E"/>
          <w:sz w:val="22"/>
          <w:szCs w:val="22"/>
        </w:rPr>
        <w:t xml:space="preserve">systématiquement </w:t>
      </w:r>
      <w:r w:rsidR="006B79A6">
        <w:rPr>
          <w:rFonts w:asciiTheme="minorHAnsi" w:hAnsiTheme="minorHAnsi" w:cstheme="minorHAnsi"/>
          <w:color w:val="211D1E"/>
          <w:sz w:val="22"/>
          <w:szCs w:val="22"/>
        </w:rPr>
        <w:t>de mentionner les</w:t>
      </w:r>
      <w:r w:rsidR="00952060">
        <w:rPr>
          <w:rFonts w:asciiTheme="minorHAnsi" w:hAnsiTheme="minorHAnsi" w:cstheme="minorHAnsi"/>
          <w:color w:val="211D1E"/>
          <w:sz w:val="22"/>
          <w:szCs w:val="22"/>
        </w:rPr>
        <w:t xml:space="preserve"> fonds d’investissements américains 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pourtant très importantes</w:t>
      </w:r>
      <w:r w:rsidR="00933BD1">
        <w:rPr>
          <w:rFonts w:asciiTheme="minorHAnsi" w:hAnsiTheme="minorHAnsi" w:cstheme="minorHAnsi"/>
          <w:color w:val="211D1E"/>
          <w:sz w:val="22"/>
          <w:szCs w:val="22"/>
        </w:rPr>
        <w:t xml:space="preserve"> parties prenantes dans l’affaire 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et, pourquoi pas, principale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s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bénéficiaire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s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952060">
        <w:rPr>
          <w:rFonts w:asciiTheme="minorHAnsi" w:hAnsiTheme="minorHAnsi" w:cstheme="minorHAnsi"/>
          <w:color w:val="211D1E"/>
          <w:sz w:val="22"/>
          <w:szCs w:val="22"/>
        </w:rPr>
        <w:t xml:space="preserve">? </w:t>
      </w:r>
    </w:p>
    <w:p w14:paraId="506242C8" w14:textId="77777777" w:rsidR="004B03B0" w:rsidRPr="00CD37EC" w:rsidRDefault="00CD37EC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 xml:space="preserve">Mais, outre ce questionnement </w:t>
      </w:r>
      <w:r w:rsidR="00933BD1">
        <w:rPr>
          <w:rFonts w:asciiTheme="minorHAnsi" w:hAnsiTheme="minorHAnsi" w:cstheme="minorHAnsi"/>
          <w:color w:val="211D1E"/>
          <w:sz w:val="22"/>
          <w:szCs w:val="22"/>
        </w:rPr>
        <w:t xml:space="preserve">à première vue </w:t>
      </w:r>
      <w:r w:rsidR="006B79A6">
        <w:rPr>
          <w:rFonts w:asciiTheme="minorHAnsi" w:hAnsiTheme="minorHAnsi" w:cstheme="minorHAnsi"/>
          <w:color w:val="211D1E"/>
          <w:sz w:val="22"/>
          <w:szCs w:val="22"/>
        </w:rPr>
        <w:t>platement économique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,</w:t>
      </w:r>
      <w:r>
        <w:rPr>
          <w:rFonts w:asciiTheme="minorHAnsi" w:hAnsiTheme="minorHAnsi" w:cstheme="minorHAnsi"/>
          <w:color w:val="211D1E"/>
          <w:sz w:val="22"/>
          <w:szCs w:val="22"/>
        </w:rPr>
        <w:t xml:space="preserve"> la question se pose </w:t>
      </w:r>
      <w:r w:rsidR="0009475F">
        <w:rPr>
          <w:rFonts w:asciiTheme="minorHAnsi" w:hAnsiTheme="minorHAnsi" w:cstheme="minorHAnsi"/>
          <w:color w:val="211D1E"/>
          <w:sz w:val="22"/>
          <w:szCs w:val="22"/>
        </w:rPr>
        <w:t>de savoir</w:t>
      </w:r>
      <w:r>
        <w:rPr>
          <w:rFonts w:asciiTheme="minorHAnsi" w:hAnsiTheme="minorHAnsi" w:cstheme="minorHAnsi"/>
          <w:color w:val="211D1E"/>
          <w:sz w:val="22"/>
          <w:szCs w:val="22"/>
        </w:rPr>
        <w:t xml:space="preserve"> comment 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et pourquoi </w:t>
      </w:r>
      <w:r>
        <w:rPr>
          <w:rFonts w:asciiTheme="minorHAnsi" w:hAnsiTheme="minorHAnsi" w:cstheme="minorHAnsi"/>
          <w:color w:val="211D1E"/>
          <w:sz w:val="22"/>
          <w:szCs w:val="22"/>
        </w:rPr>
        <w:t>l’Ukraine en est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arrivé là ?</w:t>
      </w:r>
    </w:p>
    <w:p w14:paraId="64A8E0B9" w14:textId="77777777" w:rsidR="00624CC0" w:rsidRPr="00CD37EC" w:rsidRDefault="00870978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L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orsque le pays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faisait partie de l’Union soviétique, la terre appartenait à l’état par l’intermédiaire des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kolkhozes</w:t>
      </w:r>
      <w:r w:rsidR="00174543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Après la disparition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de l’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Union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soviétique, les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paysans, 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employés des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kolkhozes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ont reçu en fermage les terres étatiques qu’ils cultivaient ju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squ’alors. Par la suite, le statut de ces terres a été transformé pour devenir, 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>au terme de longues procédures adminis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tratives, pleine propriété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de ceux qui les cultivaient naguère, l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es anciens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kolkhoziens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. 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>S’en est suivie alors une courte période pendant laquelle ont ét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é autorisées des transactions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, c’est-à-dire la vente et l’achat des terres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 xml:space="preserve">. 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Mais, pour finir, dès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2001, un mor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atoire a été décrété mettant un terme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à toute transaction</w:t>
      </w:r>
      <w:r w:rsidR="00624CC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.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Cet état des choses a perduré peu ou prou durant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les vingt années suivantes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, jusqu’en 2021.</w:t>
      </w:r>
    </w:p>
    <w:p w14:paraId="3DC212E4" w14:textId="77777777" w:rsidR="00624CC0" w:rsidRPr="00CD37EC" w:rsidRDefault="00624CC0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39387F">
        <w:rPr>
          <w:rFonts w:asciiTheme="minorHAnsi" w:hAnsiTheme="minorHAnsi" w:cstheme="minorHAnsi"/>
          <w:color w:val="211D1E"/>
          <w:sz w:val="22"/>
          <w:szCs w:val="22"/>
          <w:u w:val="single"/>
        </w:rPr>
        <w:lastRenderedPageBreak/>
        <w:t>Du coup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, comme ils ne pouvaient ni vendre ni acheter la terre</w:t>
      </w:r>
      <w:r w:rsidR="00870978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de nombreux anciens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kolkhoziens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devenus propriétaires à la suite de la disparition de l’Union soviétique, 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se sont retrouvés devant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le choix soit de continuer à travailler la terre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comme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auparavant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soit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, ce qui était nouveau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pour eux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de la donner en location au prix de 150 dollar l’hectare 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 xml:space="preserve">l’an </w:t>
      </w:r>
      <w:r w:rsidR="0039387F">
        <w:rPr>
          <w:rFonts w:asciiTheme="minorHAnsi" w:hAnsiTheme="minorHAnsi" w:cstheme="minorHAnsi"/>
          <w:color w:val="211D1E"/>
          <w:sz w:val="22"/>
          <w:szCs w:val="22"/>
        </w:rPr>
        <w:t>a des « opérateurs »,</w:t>
      </w:r>
      <w:r w:rsidR="0039387F" w:rsidRPr="0039387F">
        <w:rPr>
          <w:rFonts w:asciiTheme="minorHAnsi" w:hAnsiTheme="minorHAnsi" w:cstheme="minorHAnsi"/>
          <w:color w:val="FF0000"/>
          <w:sz w:val="22"/>
          <w:szCs w:val="22"/>
        </w:rPr>
        <w:t xml:space="preserve"> surgit</w:t>
      </w:r>
      <w:r w:rsidRPr="0039387F">
        <w:rPr>
          <w:rFonts w:asciiTheme="minorHAnsi" w:hAnsiTheme="minorHAnsi" w:cstheme="minorHAnsi"/>
          <w:color w:val="FF0000"/>
          <w:sz w:val="22"/>
          <w:szCs w:val="22"/>
        </w:rPr>
        <w:t xml:space="preserve"> d’on </w:t>
      </w:r>
      <w:r w:rsidR="0039387F" w:rsidRPr="0039387F">
        <w:rPr>
          <w:rFonts w:asciiTheme="minorHAnsi" w:hAnsiTheme="minorHAnsi" w:cstheme="minorHAnsi"/>
          <w:color w:val="FF0000"/>
          <w:sz w:val="22"/>
          <w:szCs w:val="22"/>
        </w:rPr>
        <w:t xml:space="preserve">ne </w:t>
      </w:r>
      <w:r w:rsidRPr="0039387F">
        <w:rPr>
          <w:rFonts w:asciiTheme="minorHAnsi" w:hAnsiTheme="minorHAnsi" w:cstheme="minorHAnsi"/>
          <w:color w:val="FF0000"/>
          <w:sz w:val="22"/>
          <w:szCs w:val="22"/>
        </w:rPr>
        <w:t>sait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où dans la foulée de la dislocation de l’Union soviétique.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EF7CA3" w:rsidRPr="0039387F">
        <w:rPr>
          <w:rFonts w:asciiTheme="minorHAnsi" w:hAnsiTheme="minorHAnsi" w:cstheme="minorHAnsi"/>
          <w:color w:val="211D1E"/>
          <w:sz w:val="22"/>
          <w:szCs w:val="22"/>
          <w:u w:val="single"/>
        </w:rPr>
        <w:t>Ainsi,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 à l’ombre du moratoire d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es « opérateurs » sont devenus d’authentiques latifundiaires, 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pis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des entreprises monopolistiques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agricoles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. 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De la sorte, 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i la terre continuait à appartenir, du moins formellement, aux anciens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kolkhoziens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, dans les faits elle était entre les mains « d’opér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ateurs » privés, rouages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important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, si ce n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’est essentiel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compte tenu de l’importance démographique de la paysannerie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ukrainienne</w:t>
      </w:r>
      <w:r w:rsidR="008543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– représentant environ 30% de la population du pays -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du systèm</w:t>
      </w:r>
      <w:r w:rsidR="008543E9" w:rsidRPr="00CD37EC">
        <w:rPr>
          <w:rFonts w:asciiTheme="minorHAnsi" w:hAnsiTheme="minorHAnsi" w:cstheme="minorHAnsi"/>
          <w:color w:val="211D1E"/>
          <w:sz w:val="22"/>
          <w:szCs w:val="22"/>
        </w:rPr>
        <w:t>e oligarchique à la tête de l’Ukraine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.  </w:t>
      </w:r>
    </w:p>
    <w:p w14:paraId="595B8E11" w14:textId="77777777" w:rsidR="00881DD2" w:rsidRPr="00CD37EC" w:rsidRDefault="00624CC0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Cependant, l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>a question de la pr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opriété des terres agricoles 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>en U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kraine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demeurait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en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suspens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problème politique important, central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="00881DD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particulièrement sensible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 xml:space="preserve"> en pays slave</w:t>
      </w:r>
      <w:r w:rsidR="00933BD1">
        <w:rPr>
          <w:rFonts w:asciiTheme="minorHAnsi" w:hAnsiTheme="minorHAnsi" w:cstheme="minorHAnsi"/>
          <w:color w:val="211D1E"/>
          <w:sz w:val="22"/>
          <w:szCs w:val="22"/>
        </w:rPr>
        <w:t xml:space="preserve"> qu’est l’Ukraine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. La qualité de </w:t>
      </w:r>
      <w:r w:rsidR="004B03B0" w:rsidRPr="00CD37EC">
        <w:rPr>
          <w:rFonts w:asciiTheme="minorHAnsi" w:hAnsiTheme="minorHAnsi" w:cstheme="minorHAnsi"/>
          <w:i/>
          <w:color w:val="211D1E"/>
          <w:sz w:val="22"/>
          <w:szCs w:val="22"/>
        </w:rPr>
        <w:t>tchernoziom</w:t>
      </w:r>
      <w:r w:rsidR="004B03B0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ukrainien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>, parmi les meilleures terres arables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du monde, ajoutait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encore à cet enjeu traditionnel d’autant plus que la productio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n agricole ukrainienne participait de plus en plus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aux échanges internationaux. Du coup, le débat 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s’enrichissait 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>pour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savoir s’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il fallait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>outre l’abolition du moratoire sur les transactions des terres agricoles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>,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>ouvrir aux ressortissants étrangers la possibilité d’acheter des terres en Ukraine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>. U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>n peu à la fois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>, progressivement l’idée s’imposait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avec l’ouverture 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 xml:space="preserve">de plus en plus effective 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>du pays.</w:t>
      </w:r>
    </w:p>
    <w:p w14:paraId="286608D4" w14:textId="77777777" w:rsidR="004B03B0" w:rsidRPr="00CD37EC" w:rsidRDefault="00881DD2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Volodimir Zelensky, averti de la question, proposait de soumettre la question au pays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 xml:space="preserve"> par voie référendaire. Lors de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manifestations paysannes il proclamait haut et fort que « la terre appartenait aux Ukrainiens » tout en stigmatisant 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>« 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les C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>hinois et les Arabes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> »</w:t>
      </w:r>
      <w:r w:rsidR="007067E2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qui s’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apprêtaient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selon lui, « à emporter notre terre par wagons ».   </w:t>
      </w:r>
      <w:r w:rsidR="008F07E9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 </w:t>
      </w:r>
    </w:p>
    <w:p w14:paraId="6D6D8102" w14:textId="77777777" w:rsidR="00C7403E" w:rsidRPr="00CD37EC" w:rsidRDefault="007067E2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>Le débat faisait rage et Zelensky, en habile bateleur, savait jouer du sentiment populaire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 xml:space="preserve"> pour lui confér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er une orientation </w:t>
      </w:r>
      <w:r w:rsidR="00F43AE1" w:rsidRPr="00CD37EC">
        <w:rPr>
          <w:rFonts w:asciiTheme="minorHAnsi" w:hAnsiTheme="minorHAnsi" w:cstheme="minorHAnsi"/>
          <w:color w:val="211D1E"/>
          <w:sz w:val="22"/>
          <w:szCs w:val="22"/>
        </w:rPr>
        <w:t>nationaliste, chauvine, voire xé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nophobe.</w:t>
      </w:r>
    </w:p>
    <w:p w14:paraId="1CFB1B52" w14:textId="77777777" w:rsidR="00EF7CA3" w:rsidRDefault="008543E9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En dépit de l’opposition très majoritaire à l’abolition du moratoire sur la vente 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>des terres agricoles on mettait en avant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 xml:space="preserve">avec insistance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la « justification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> ». Il fallait l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e faire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 xml:space="preserve">, disait-on, car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il est passé beaucoup de temps depuis l’adoption de cette mesure sans que le parlement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 xml:space="preserve"> ukrainien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</w:t>
      </w:r>
      <w:r w:rsidRPr="00CD37EC">
        <w:rPr>
          <w:rFonts w:asciiTheme="minorHAnsi" w:hAnsiTheme="minorHAnsi" w:cstheme="minorHAnsi"/>
          <w:i/>
          <w:color w:val="211D1E"/>
          <w:sz w:val="22"/>
          <w:szCs w:val="22"/>
        </w:rPr>
        <w:t xml:space="preserve">la </w:t>
      </w:r>
      <w:proofErr w:type="spellStart"/>
      <w:r w:rsidRPr="00CD37EC">
        <w:rPr>
          <w:rFonts w:asciiTheme="minorHAnsi" w:hAnsiTheme="minorHAnsi" w:cstheme="minorHAnsi"/>
          <w:i/>
          <w:color w:val="211D1E"/>
          <w:sz w:val="22"/>
          <w:szCs w:val="22"/>
        </w:rPr>
        <w:t>vrhovna</w:t>
      </w:r>
      <w:proofErr w:type="spellEnd"/>
      <w:r w:rsidRPr="00CD37EC">
        <w:rPr>
          <w:rFonts w:asciiTheme="minorHAnsi" w:hAnsiTheme="minorHAnsi" w:cstheme="minorHAnsi"/>
          <w:i/>
          <w:color w:val="211D1E"/>
          <w:sz w:val="22"/>
          <w:szCs w:val="22"/>
        </w:rPr>
        <w:t xml:space="preserve"> Rada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, ait mis en place un mécanisme suffisamment transparent pour organiser la vente et l’ach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at des 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 xml:space="preserve">terres comme le prévoyait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la loi de 2001. </w:t>
      </w:r>
    </w:p>
    <w:p w14:paraId="6853DA59" w14:textId="77777777" w:rsidR="00BD5537" w:rsidRPr="00CD37EC" w:rsidRDefault="00EF7CA3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>A cet égard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211D1E"/>
          <w:sz w:val="22"/>
          <w:szCs w:val="22"/>
        </w:rPr>
        <w:t>il importe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de mentionner qu’au même moment des sondages </w:t>
      </w:r>
      <w:r>
        <w:rPr>
          <w:rFonts w:asciiTheme="minorHAnsi" w:hAnsiTheme="minorHAnsi" w:cstheme="minorHAnsi"/>
          <w:color w:val="211D1E"/>
          <w:sz w:val="22"/>
          <w:szCs w:val="22"/>
        </w:rPr>
        <w:t xml:space="preserve">d’opinion 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indiquaient que 81% des personnes enquêtées se prononçaient contre la vente de la terre aux étrangers et que seuls 13% soutenaient la démarche préconisée par le Gouvernement. Par ailleurs, deux tiers des interrogés estimaient qu’une décision aussi importante devait faire l’objet d’une consultation par 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référendum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lastRenderedPageBreak/>
        <w:t>alors que plus de la moitié (58%) estimaient que la terre agricole devait demeurée propriété de l’état à l’</w:t>
      </w:r>
      <w:r w:rsidR="004D550B" w:rsidRPr="00CD37EC">
        <w:rPr>
          <w:rFonts w:asciiTheme="minorHAnsi" w:hAnsiTheme="minorHAnsi" w:cstheme="minorHAnsi"/>
          <w:color w:val="211D1E"/>
          <w:sz w:val="22"/>
          <w:szCs w:val="22"/>
        </w:rPr>
        <w:t>exemp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>le du Canada et de l’</w:t>
      </w:r>
      <w:r w:rsidR="002A2763" w:rsidRPr="00CD37EC">
        <w:rPr>
          <w:rFonts w:asciiTheme="minorHAnsi" w:hAnsiTheme="minorHAnsi" w:cstheme="minorHAnsi"/>
          <w:color w:val="211D1E"/>
          <w:sz w:val="22"/>
          <w:szCs w:val="22"/>
        </w:rPr>
        <w:t>Israël</w:t>
      </w:r>
      <w:r w:rsidR="004D550B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C93987"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 </w:t>
      </w:r>
      <w:r w:rsidR="004D550B" w:rsidRPr="00CD37EC">
        <w:rPr>
          <w:rFonts w:asciiTheme="minorHAnsi" w:hAnsiTheme="minorHAnsi" w:cstheme="minorHAnsi"/>
          <w:color w:val="211D1E"/>
          <w:sz w:val="22"/>
          <w:szCs w:val="22"/>
        </w:rPr>
        <w:t>(références importantes pour l’opinion publique ukrainienne).</w:t>
      </w:r>
    </w:p>
    <w:p w14:paraId="73EC860F" w14:textId="77777777" w:rsidR="004D550B" w:rsidRPr="002546BF" w:rsidRDefault="004D550B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Finalement, c’est le compte-rendu du mois d’avril 2021 du Fond monétaire international, le plus important créditeur de l’Ukraine, qui emportait la décision en mettant l’abolition du moratoire comme condition </w:t>
      </w:r>
      <w:r w:rsidRPr="00CD37EC">
        <w:rPr>
          <w:rFonts w:asciiTheme="minorHAnsi" w:hAnsiTheme="minorHAnsi" w:cstheme="minorHAnsi"/>
          <w:i/>
          <w:color w:val="211D1E"/>
          <w:sz w:val="22"/>
          <w:szCs w:val="22"/>
        </w:rPr>
        <w:t>sine qua non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 xml:space="preserve">à 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>l’attribution d’un nouveau paquet de crédit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>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à l’Ukraine</w:t>
      </w:r>
      <w:r w:rsidR="00EF7CA3">
        <w:rPr>
          <w:rFonts w:asciiTheme="minorHAnsi" w:hAnsiTheme="minorHAnsi" w:cstheme="minorHAnsi"/>
          <w:color w:val="211D1E"/>
          <w:sz w:val="22"/>
          <w:szCs w:val="22"/>
        </w:rPr>
        <w:t>. Et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le gouvernement ukrainien de s’exécuter contre l’avis très largement ma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>jo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>ritaire de son opinion public. Dès lors</w:t>
      </w:r>
      <w:r w:rsidR="00F902A1">
        <w:rPr>
          <w:rFonts w:asciiTheme="minorHAnsi" w:hAnsiTheme="minorHAnsi" w:cstheme="minorHAnsi"/>
          <w:color w:val="211D1E"/>
          <w:sz w:val="22"/>
          <w:szCs w:val="22"/>
        </w:rPr>
        <w:t xml:space="preserve"> les « opérateurs »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 avaient les</w:t>
      </w:r>
      <w:r w:rsidRPr="00CD37EC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mains libres pour transmettre les terres </w:t>
      </w:r>
      <w:r w:rsidR="00991D24">
        <w:rPr>
          <w:rFonts w:asciiTheme="minorHAnsi" w:hAnsiTheme="minorHAnsi" w:cstheme="minorHAnsi"/>
          <w:color w:val="211D1E"/>
          <w:sz w:val="22"/>
          <w:szCs w:val="22"/>
        </w:rPr>
        <w:t xml:space="preserve">qu’ils avaient en gestion 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aux « investisseurs étrangers », </w:t>
      </w:r>
      <w:proofErr w:type="spellStart"/>
      <w:r w:rsidR="002546BF" w:rsidRPr="002546BF">
        <w:rPr>
          <w:rFonts w:asciiTheme="minorHAnsi" w:hAnsiTheme="minorHAnsi" w:cstheme="minorHAnsi"/>
          <w:i/>
          <w:color w:val="211D1E"/>
          <w:sz w:val="22"/>
          <w:szCs w:val="22"/>
        </w:rPr>
        <w:t>ultima</w:t>
      </w:r>
      <w:proofErr w:type="spellEnd"/>
      <w:r w:rsidR="002546BF" w:rsidRPr="002546BF">
        <w:rPr>
          <w:rFonts w:asciiTheme="minorHAnsi" w:hAnsiTheme="minorHAnsi" w:cstheme="minorHAnsi"/>
          <w:i/>
          <w:color w:val="211D1E"/>
          <w:sz w:val="22"/>
          <w:szCs w:val="22"/>
        </w:rPr>
        <w:t xml:space="preserve"> ratio</w:t>
      </w:r>
      <w:r w:rsidR="002546BF">
        <w:rPr>
          <w:rFonts w:asciiTheme="minorHAnsi" w:hAnsiTheme="minorHAnsi" w:cstheme="minorHAnsi"/>
          <w:i/>
          <w:color w:val="211D1E"/>
          <w:sz w:val="22"/>
          <w:szCs w:val="22"/>
        </w:rPr>
        <w:t xml:space="preserve"> </w:t>
      </w:r>
      <w:r w:rsidR="00991D24">
        <w:rPr>
          <w:rFonts w:asciiTheme="minorHAnsi" w:hAnsiTheme="minorHAnsi" w:cstheme="minorHAnsi"/>
          <w:color w:val="211D1E"/>
          <w:sz w:val="22"/>
          <w:szCs w:val="22"/>
        </w:rPr>
        <w:t>du système économique ukrainien. Au préalable, ils devaient les acquérir</w:t>
      </w:r>
      <w:r w:rsidR="003C26A6">
        <w:rPr>
          <w:rFonts w:asciiTheme="minorHAnsi" w:hAnsiTheme="minorHAnsi" w:cstheme="minorHAnsi"/>
          <w:color w:val="211D1E"/>
          <w:sz w:val="22"/>
          <w:szCs w:val="22"/>
        </w:rPr>
        <w:t>, comme la loi désormais les autorisait de le faire,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 auprès des « petits porteurs » ex-kolkhoziens. L’opération</w:t>
      </w:r>
      <w:r w:rsidR="00991D24">
        <w:rPr>
          <w:rFonts w:asciiTheme="minorHAnsi" w:hAnsiTheme="minorHAnsi" w:cstheme="minorHAnsi"/>
          <w:color w:val="211D1E"/>
          <w:sz w:val="22"/>
          <w:szCs w:val="22"/>
        </w:rPr>
        <w:t>, classique dans son genre,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="00C46C39">
        <w:rPr>
          <w:rFonts w:asciiTheme="minorHAnsi" w:hAnsiTheme="minorHAnsi" w:cstheme="minorHAnsi"/>
          <w:color w:val="211D1E"/>
          <w:sz w:val="22"/>
          <w:szCs w:val="22"/>
        </w:rPr>
        <w:t xml:space="preserve">rondement menée, comme en témoigne le délai entre l’adoption de la loi par la </w:t>
      </w:r>
      <w:proofErr w:type="spellStart"/>
      <w:r w:rsidR="00C46C39">
        <w:rPr>
          <w:rFonts w:asciiTheme="minorHAnsi" w:hAnsiTheme="minorHAnsi" w:cstheme="minorHAnsi"/>
          <w:i/>
          <w:color w:val="211D1E"/>
          <w:sz w:val="22"/>
          <w:szCs w:val="22"/>
        </w:rPr>
        <w:t>vrhovna</w:t>
      </w:r>
      <w:proofErr w:type="spellEnd"/>
      <w:r w:rsidR="00C46C39">
        <w:rPr>
          <w:rFonts w:asciiTheme="minorHAnsi" w:hAnsiTheme="minorHAnsi" w:cstheme="minorHAnsi"/>
          <w:i/>
          <w:color w:val="211D1E"/>
          <w:sz w:val="22"/>
          <w:szCs w:val="22"/>
        </w:rPr>
        <w:t xml:space="preserve"> R</w:t>
      </w:r>
      <w:r w:rsidR="00C46C39" w:rsidRPr="00C46C39">
        <w:rPr>
          <w:rFonts w:asciiTheme="minorHAnsi" w:hAnsiTheme="minorHAnsi" w:cstheme="minorHAnsi"/>
          <w:i/>
          <w:color w:val="211D1E"/>
          <w:sz w:val="22"/>
          <w:szCs w:val="22"/>
        </w:rPr>
        <w:t xml:space="preserve">ada </w:t>
      </w:r>
      <w:r w:rsidR="00C46C39">
        <w:rPr>
          <w:rFonts w:asciiTheme="minorHAnsi" w:hAnsiTheme="minorHAnsi" w:cstheme="minorHAnsi"/>
          <w:color w:val="211D1E"/>
          <w:sz w:val="22"/>
          <w:szCs w:val="22"/>
        </w:rPr>
        <w:t>et sa mise en application</w:t>
      </w:r>
      <w:r w:rsidR="00BD5537">
        <w:rPr>
          <w:rFonts w:asciiTheme="minorHAnsi" w:hAnsiTheme="minorHAnsi" w:cstheme="minorHAnsi"/>
          <w:color w:val="211D1E"/>
          <w:sz w:val="22"/>
          <w:szCs w:val="22"/>
        </w:rPr>
        <w:t xml:space="preserve"> – à savoir l’acquisition par les compagnies américaine -</w:t>
      </w:r>
      <w:r w:rsidR="00C46C39">
        <w:rPr>
          <w:rFonts w:asciiTheme="minorHAnsi" w:hAnsiTheme="minorHAnsi" w:cstheme="minorHAnsi"/>
          <w:color w:val="211D1E"/>
          <w:sz w:val="22"/>
          <w:szCs w:val="22"/>
        </w:rPr>
        <w:t xml:space="preserve">, a 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 évidemment rapporté gros à quelques malfrats proches du pouvoir kiévien.  </w:t>
      </w:r>
    </w:p>
    <w:p w14:paraId="430C6C28" w14:textId="77777777" w:rsidR="00953485" w:rsidRDefault="0009475F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>Alors, après</w:t>
      </w:r>
      <w:r w:rsidR="002E4EC2">
        <w:rPr>
          <w:rFonts w:asciiTheme="minorHAnsi" w:hAnsiTheme="minorHAnsi" w:cstheme="minorHAnsi"/>
          <w:color w:val="211D1E"/>
          <w:sz w:val="22"/>
          <w:szCs w:val="22"/>
        </w:rPr>
        <w:t xml:space="preserve"> l’implantation d’une</w:t>
      </w:r>
      <w:r>
        <w:rPr>
          <w:rFonts w:asciiTheme="minorHAnsi" w:hAnsiTheme="minorHAnsi" w:cstheme="minorHAnsi"/>
          <w:color w:val="211D1E"/>
          <w:sz w:val="22"/>
          <w:szCs w:val="22"/>
        </w:rPr>
        <w:t xml:space="preserve"> trentaine de laboratoires biologiques américains</w:t>
      </w:r>
      <w:r w:rsidR="002E4EC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1D1E"/>
          <w:sz w:val="22"/>
          <w:szCs w:val="22"/>
        </w:rPr>
        <w:t>sur l’ensemble de son  territoire, l’Ukraine</w:t>
      </w:r>
      <w:r w:rsidR="002A2763">
        <w:rPr>
          <w:rFonts w:asciiTheme="minorHAnsi" w:hAnsiTheme="minorHAnsi" w:cstheme="minorHAnsi"/>
          <w:color w:val="211D1E"/>
          <w:sz w:val="22"/>
          <w:szCs w:val="22"/>
        </w:rPr>
        <w:t xml:space="preserve"> ajoutait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>,</w:t>
      </w:r>
      <w:r>
        <w:rPr>
          <w:rFonts w:asciiTheme="minorHAnsi" w:hAnsiTheme="minorHAnsi" w:cstheme="minorHAnsi"/>
          <w:color w:val="211D1E"/>
          <w:sz w:val="22"/>
          <w:szCs w:val="22"/>
        </w:rPr>
        <w:t xml:space="preserve"> par la vente massive de ses terres agricoles aux corporations 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>transnationales sous tutelle des fonds d’investissement américain</w:t>
      </w:r>
      <w:r w:rsidR="002E4EC2">
        <w:rPr>
          <w:rFonts w:asciiTheme="minorHAnsi" w:hAnsiTheme="minorHAnsi" w:cstheme="minorHAnsi"/>
          <w:color w:val="211D1E"/>
          <w:sz w:val="22"/>
          <w:szCs w:val="22"/>
        </w:rPr>
        <w:t>,</w:t>
      </w:r>
      <w:r>
        <w:rPr>
          <w:rFonts w:asciiTheme="minorHAnsi" w:hAnsiTheme="minorHAnsi" w:cstheme="minorHAnsi"/>
          <w:color w:val="211D1E"/>
          <w:sz w:val="22"/>
          <w:szCs w:val="22"/>
        </w:rPr>
        <w:t xml:space="preserve"> une dimension supplémentai</w:t>
      </w:r>
      <w:r w:rsidR="00933BD1">
        <w:rPr>
          <w:rFonts w:asciiTheme="minorHAnsi" w:hAnsiTheme="minorHAnsi" w:cstheme="minorHAnsi"/>
          <w:color w:val="211D1E"/>
          <w:sz w:val="22"/>
          <w:szCs w:val="22"/>
        </w:rPr>
        <w:t>re à son aligne</w:t>
      </w:r>
      <w:r w:rsidR="002546BF">
        <w:rPr>
          <w:rFonts w:asciiTheme="minorHAnsi" w:hAnsiTheme="minorHAnsi" w:cstheme="minorHAnsi"/>
          <w:color w:val="211D1E"/>
          <w:sz w:val="22"/>
          <w:szCs w:val="22"/>
        </w:rPr>
        <w:t xml:space="preserve">ment atlantique. </w:t>
      </w:r>
      <w:r w:rsidR="002E4EC2">
        <w:rPr>
          <w:rFonts w:asciiTheme="minorHAnsi" w:hAnsiTheme="minorHAnsi" w:cstheme="minorHAnsi"/>
          <w:color w:val="211D1E"/>
          <w:sz w:val="22"/>
          <w:szCs w:val="22"/>
        </w:rPr>
        <w:t xml:space="preserve"> Si les laboratoires biologiques n’ont pas encore livré leurs secrets, en revanche en ce qui concerne les terres agricoles les choses semblent plus simples à élucider en répondant à la question : le blé exporté d’Ukraine est-il américain ? </w:t>
      </w:r>
      <w:r w:rsidR="00953485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</w:p>
    <w:p w14:paraId="53DFE5B5" w14:textId="311A135A" w:rsidR="0009475F" w:rsidRDefault="00953485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 xml:space="preserve">P.S. </w:t>
      </w:r>
      <w:proofErr w:type="gramStart"/>
      <w:r>
        <w:rPr>
          <w:rFonts w:asciiTheme="minorHAnsi" w:hAnsiTheme="minorHAnsi" w:cstheme="minorHAnsi"/>
          <w:color w:val="211D1E"/>
          <w:sz w:val="22"/>
          <w:szCs w:val="22"/>
        </w:rPr>
        <w:t>Gageons</w:t>
      </w:r>
      <w:proofErr w:type="gramEnd"/>
      <w:r>
        <w:rPr>
          <w:rFonts w:asciiTheme="minorHAnsi" w:hAnsiTheme="minorHAnsi" w:cstheme="minorHAnsi"/>
          <w:color w:val="211D1E"/>
          <w:sz w:val="22"/>
          <w:szCs w:val="22"/>
        </w:rPr>
        <w:t xml:space="preserve"> que les inspecteurs qui vont examiner le navire libérien transportant la première cargaison de blé ukrainien au large du port d’</w:t>
      </w:r>
      <w:r w:rsidR="009B34FF">
        <w:rPr>
          <w:rFonts w:asciiTheme="minorHAnsi" w:hAnsiTheme="minorHAnsi" w:cstheme="minorHAnsi"/>
          <w:color w:val="211D1E"/>
          <w:sz w:val="22"/>
          <w:szCs w:val="22"/>
        </w:rPr>
        <w:t>Istanb</w:t>
      </w:r>
      <w:bookmarkStart w:id="0" w:name="_GoBack"/>
      <w:bookmarkEnd w:id="0"/>
      <w:r>
        <w:rPr>
          <w:rFonts w:asciiTheme="minorHAnsi" w:hAnsiTheme="minorHAnsi" w:cstheme="minorHAnsi"/>
          <w:color w:val="211D1E"/>
          <w:sz w:val="22"/>
          <w:szCs w:val="22"/>
        </w:rPr>
        <w:t xml:space="preserve">ul ce jour (3 août dans la matinée à partir de 10 heures GMT) auront la possibilité de répondre à la question. Ayant entre les mains les bordereaux et la documentation réglementaire, ils connaitront le propriétaire des céréales ukrainiennes.  </w:t>
      </w:r>
    </w:p>
    <w:p w14:paraId="4F7C3F1F" w14:textId="69724897" w:rsidR="0009475F" w:rsidRPr="00CD37EC" w:rsidRDefault="00DC07E8" w:rsidP="00CD37E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11D1E"/>
          <w:sz w:val="22"/>
          <w:szCs w:val="22"/>
        </w:rPr>
      </w:pPr>
      <w:r>
        <w:rPr>
          <w:rFonts w:asciiTheme="minorHAnsi" w:hAnsiTheme="minorHAnsi" w:cstheme="minorHAnsi"/>
          <w:color w:val="211D1E"/>
          <w:sz w:val="22"/>
          <w:szCs w:val="22"/>
        </w:rPr>
        <w:t>A.J. le 3</w:t>
      </w:r>
      <w:r w:rsidR="0009475F">
        <w:rPr>
          <w:rFonts w:asciiTheme="minorHAnsi" w:hAnsiTheme="minorHAnsi" w:cstheme="minorHAnsi"/>
          <w:color w:val="211D1E"/>
          <w:sz w:val="22"/>
          <w:szCs w:val="22"/>
        </w:rPr>
        <w:t xml:space="preserve"> août 2022</w:t>
      </w:r>
      <w:r w:rsidR="002E4EC2">
        <w:rPr>
          <w:rFonts w:asciiTheme="minorHAnsi" w:hAnsiTheme="minorHAnsi" w:cstheme="minorHAnsi"/>
          <w:color w:val="211D1E"/>
          <w:sz w:val="22"/>
          <w:szCs w:val="22"/>
        </w:rPr>
        <w:t> </w:t>
      </w:r>
    </w:p>
    <w:sectPr w:rsidR="0009475F" w:rsidRPr="00CD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1E"/>
    <w:rsid w:val="0009475F"/>
    <w:rsid w:val="00143AA2"/>
    <w:rsid w:val="001728E2"/>
    <w:rsid w:val="00174543"/>
    <w:rsid w:val="002546BF"/>
    <w:rsid w:val="002A2763"/>
    <w:rsid w:val="002E4EC2"/>
    <w:rsid w:val="0039387F"/>
    <w:rsid w:val="00394BE6"/>
    <w:rsid w:val="003C26A6"/>
    <w:rsid w:val="004B03B0"/>
    <w:rsid w:val="004D550B"/>
    <w:rsid w:val="00593E41"/>
    <w:rsid w:val="00624CC0"/>
    <w:rsid w:val="006B79A6"/>
    <w:rsid w:val="007067E2"/>
    <w:rsid w:val="007E3396"/>
    <w:rsid w:val="007E3D1E"/>
    <w:rsid w:val="008219A6"/>
    <w:rsid w:val="008543E9"/>
    <w:rsid w:val="00870978"/>
    <w:rsid w:val="00881DD2"/>
    <w:rsid w:val="008A2E6C"/>
    <w:rsid w:val="008F07E9"/>
    <w:rsid w:val="00924A5B"/>
    <w:rsid w:val="00933BD1"/>
    <w:rsid w:val="00950128"/>
    <w:rsid w:val="00952060"/>
    <w:rsid w:val="00953485"/>
    <w:rsid w:val="00991D24"/>
    <w:rsid w:val="009B34FF"/>
    <w:rsid w:val="00B84C48"/>
    <w:rsid w:val="00BB3E3C"/>
    <w:rsid w:val="00BD5537"/>
    <w:rsid w:val="00C42B5F"/>
    <w:rsid w:val="00C46C39"/>
    <w:rsid w:val="00C7403E"/>
    <w:rsid w:val="00C93987"/>
    <w:rsid w:val="00CD37EC"/>
    <w:rsid w:val="00CD5F25"/>
    <w:rsid w:val="00DC07E8"/>
    <w:rsid w:val="00EF7CA3"/>
    <w:rsid w:val="00F43AE1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98C43"/>
  <w15:docId w15:val="{3DEFA91C-4F91-4711-8E5E-D38677B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2022-08-02T18:50:00Z</cp:lastPrinted>
  <dcterms:created xsi:type="dcterms:W3CDTF">2022-08-03T08:36:00Z</dcterms:created>
  <dcterms:modified xsi:type="dcterms:W3CDTF">2022-08-03T08:36:00Z</dcterms:modified>
</cp:coreProperties>
</file>