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612FE" w14:textId="77777777" w:rsidR="00087944" w:rsidRDefault="00087944" w:rsidP="00087944">
      <w:pPr>
        <w:spacing w:before="100" w:beforeAutospacing="1" w:after="100" w:afterAutospacing="1" w:line="240" w:lineRule="auto"/>
        <w:jc w:val="center"/>
        <w:rPr>
          <w:rFonts w:ascii="Times New Roman" w:eastAsia="Times New Roman" w:hAnsi="Times New Roman"/>
          <w:color w:val="0070C0"/>
          <w:kern w:val="0"/>
          <w:sz w:val="32"/>
          <w:szCs w:val="32"/>
          <w:lang w:eastAsia="fr-FR"/>
          <w14:ligatures w14:val="none"/>
        </w:rPr>
      </w:pPr>
      <w:proofErr w:type="spellStart"/>
      <w:proofErr w:type="gramStart"/>
      <w:r>
        <w:rPr>
          <w:rFonts w:ascii="Georgia" w:eastAsia="Times New Roman" w:hAnsi="Georgia"/>
          <w:b/>
          <w:bCs/>
          <w:color w:val="0070C0"/>
          <w:kern w:val="0"/>
          <w:sz w:val="32"/>
          <w:szCs w:val="32"/>
          <w:lang w:eastAsia="fr-FR"/>
          <w14:ligatures w14:val="none"/>
        </w:rPr>
        <w:t>comaguer</w:t>
      </w:r>
      <w:proofErr w:type="spellEnd"/>
      <w:proofErr w:type="gramEnd"/>
    </w:p>
    <w:p w14:paraId="161364AE" w14:textId="48935231" w:rsidR="00087944" w:rsidRDefault="00087944" w:rsidP="00087944">
      <w:pPr>
        <w:spacing w:before="100" w:beforeAutospacing="1" w:after="100" w:afterAutospacing="1" w:line="240" w:lineRule="auto"/>
        <w:jc w:val="center"/>
        <w:rPr>
          <w:rFonts w:ascii="Georgia" w:eastAsia="Times New Roman" w:hAnsi="Georgia"/>
          <w:b/>
          <w:bCs/>
          <w:color w:val="0070C0"/>
          <w:kern w:val="0"/>
          <w:sz w:val="40"/>
          <w:szCs w:val="40"/>
          <w:lang w:eastAsia="fr-FR"/>
          <w14:ligatures w14:val="none"/>
        </w:rPr>
      </w:pPr>
      <w:r>
        <w:rPr>
          <w:rFonts w:ascii="Georgia" w:eastAsia="Times New Roman" w:hAnsi="Georgia"/>
          <w:b/>
          <w:bCs/>
          <w:color w:val="0070C0"/>
          <w:kern w:val="0"/>
          <w:sz w:val="40"/>
          <w:szCs w:val="40"/>
          <w:lang w:eastAsia="fr-FR"/>
          <w14:ligatures w14:val="none"/>
        </w:rPr>
        <w:t>Bulletin 68</w:t>
      </w:r>
      <w:r w:rsidR="0002785A">
        <w:rPr>
          <w:rFonts w:ascii="Georgia" w:eastAsia="Times New Roman" w:hAnsi="Georgia"/>
          <w:b/>
          <w:bCs/>
          <w:color w:val="0070C0"/>
          <w:kern w:val="0"/>
          <w:sz w:val="40"/>
          <w:szCs w:val="40"/>
          <w:lang w:eastAsia="fr-FR"/>
          <w14:ligatures w14:val="none"/>
        </w:rPr>
        <w:t>3</w:t>
      </w:r>
    </w:p>
    <w:p w14:paraId="010A28DA" w14:textId="42C22586" w:rsidR="00087944" w:rsidRDefault="0002785A" w:rsidP="00087944">
      <w:pPr>
        <w:spacing w:before="100" w:beforeAutospacing="1" w:after="100" w:afterAutospacing="1" w:line="240" w:lineRule="auto"/>
        <w:jc w:val="center"/>
        <w:rPr>
          <w:rFonts w:ascii="Georgia" w:eastAsia="Times New Roman" w:hAnsi="Georgia"/>
          <w:b/>
          <w:bCs/>
          <w:color w:val="0070C0"/>
          <w:kern w:val="0"/>
          <w:sz w:val="32"/>
          <w:szCs w:val="32"/>
          <w:lang w:eastAsia="fr-FR"/>
          <w14:ligatures w14:val="none"/>
        </w:rPr>
      </w:pPr>
      <w:r>
        <w:rPr>
          <w:rFonts w:ascii="Georgia" w:eastAsia="Times New Roman" w:hAnsi="Georgia"/>
          <w:b/>
          <w:bCs/>
          <w:color w:val="0070C0"/>
          <w:kern w:val="0"/>
          <w:sz w:val="32"/>
          <w:szCs w:val="32"/>
          <w:lang w:eastAsia="fr-FR"/>
          <w14:ligatures w14:val="none"/>
        </w:rPr>
        <w:t>01</w:t>
      </w:r>
      <w:r w:rsidR="00087944">
        <w:rPr>
          <w:rFonts w:ascii="Georgia" w:eastAsia="Times New Roman" w:hAnsi="Georgia"/>
          <w:b/>
          <w:bCs/>
          <w:color w:val="0070C0"/>
          <w:kern w:val="0"/>
          <w:sz w:val="32"/>
          <w:szCs w:val="32"/>
          <w:lang w:eastAsia="fr-FR"/>
          <w14:ligatures w14:val="none"/>
        </w:rPr>
        <w:t>.0</w:t>
      </w:r>
      <w:r>
        <w:rPr>
          <w:rFonts w:ascii="Georgia" w:eastAsia="Times New Roman" w:hAnsi="Georgia"/>
          <w:b/>
          <w:bCs/>
          <w:color w:val="0070C0"/>
          <w:kern w:val="0"/>
          <w:sz w:val="32"/>
          <w:szCs w:val="32"/>
          <w:lang w:eastAsia="fr-FR"/>
          <w14:ligatures w14:val="none"/>
        </w:rPr>
        <w:t>7</w:t>
      </w:r>
      <w:r w:rsidR="00087944">
        <w:rPr>
          <w:rFonts w:ascii="Georgia" w:eastAsia="Times New Roman" w:hAnsi="Georgia"/>
          <w:b/>
          <w:bCs/>
          <w:color w:val="0070C0"/>
          <w:kern w:val="0"/>
          <w:sz w:val="32"/>
          <w:szCs w:val="32"/>
          <w:lang w:eastAsia="fr-FR"/>
          <w14:ligatures w14:val="none"/>
        </w:rPr>
        <w:t>.2026</w:t>
      </w:r>
    </w:p>
    <w:p w14:paraId="66282875" w14:textId="6CFB36C3" w:rsidR="0002785A" w:rsidRDefault="00D120ED" w:rsidP="00087944">
      <w:pPr>
        <w:spacing w:before="100" w:beforeAutospacing="1" w:after="100" w:afterAutospacing="1" w:line="240" w:lineRule="auto"/>
        <w:jc w:val="center"/>
        <w:rPr>
          <w:rFonts w:ascii="Georgia" w:eastAsia="Times New Roman" w:hAnsi="Georgia"/>
          <w:b/>
          <w:bCs/>
          <w:color w:val="0070C0"/>
          <w:kern w:val="0"/>
          <w:sz w:val="32"/>
          <w:szCs w:val="32"/>
          <w:lang w:eastAsia="fr-FR"/>
          <w14:ligatures w14:val="none"/>
        </w:rPr>
      </w:pPr>
      <w:r>
        <w:rPr>
          <w:rFonts w:ascii="Georgia" w:eastAsia="Times New Roman" w:hAnsi="Georgia"/>
          <w:b/>
          <w:bCs/>
          <w:color w:val="0070C0"/>
          <w:kern w:val="0"/>
          <w:sz w:val="32"/>
          <w:szCs w:val="32"/>
          <w:lang w:eastAsia="fr-FR"/>
          <w14:ligatures w14:val="none"/>
        </w:rPr>
        <w:t>Vers un gouvernement sioniste mondial</w:t>
      </w:r>
    </w:p>
    <w:p w14:paraId="3423563A" w14:textId="50672118" w:rsidR="00BE0391" w:rsidRDefault="00BE0391" w:rsidP="00087944">
      <w:pPr>
        <w:spacing w:before="100" w:beforeAutospacing="1" w:after="100" w:afterAutospacing="1" w:line="240" w:lineRule="auto"/>
        <w:jc w:val="center"/>
        <w:rPr>
          <w:rFonts w:ascii="Georgia" w:eastAsia="Times New Roman" w:hAnsi="Georgia"/>
          <w:b/>
          <w:bCs/>
          <w:color w:val="0070C0"/>
          <w:kern w:val="0"/>
          <w:sz w:val="32"/>
          <w:szCs w:val="32"/>
          <w:lang w:eastAsia="fr-FR"/>
          <w14:ligatures w14:val="none"/>
        </w:rPr>
      </w:pPr>
      <w:r>
        <w:rPr>
          <w:rFonts w:ascii="Georgia" w:eastAsia="Times New Roman" w:hAnsi="Georgia"/>
          <w:b/>
          <w:bCs/>
          <w:color w:val="0070C0"/>
          <w:kern w:val="0"/>
          <w:sz w:val="32"/>
          <w:szCs w:val="32"/>
          <w:lang w:eastAsia="fr-FR"/>
          <w14:ligatures w14:val="none"/>
        </w:rPr>
        <w:t>***</w:t>
      </w:r>
    </w:p>
    <w:p w14:paraId="03C95A8B" w14:textId="77777777" w:rsidR="00BE0391" w:rsidRPr="00BE0391" w:rsidRDefault="00BE0391" w:rsidP="00BE0391">
      <w:pPr>
        <w:pBdr>
          <w:top w:val="single" w:sz="6" w:space="1" w:color="auto"/>
        </w:pBdr>
        <w:spacing w:after="0" w:line="240" w:lineRule="auto"/>
        <w:jc w:val="center"/>
        <w:rPr>
          <w:rFonts w:ascii="Arial" w:eastAsia="Times New Roman" w:hAnsi="Arial" w:cs="Arial"/>
          <w:vanish/>
          <w:kern w:val="0"/>
          <w:sz w:val="36"/>
          <w:szCs w:val="36"/>
          <w:lang w:eastAsia="fr-FR"/>
          <w14:ligatures w14:val="none"/>
        </w:rPr>
      </w:pPr>
      <w:r w:rsidRPr="00BE0391">
        <w:rPr>
          <w:rFonts w:ascii="Arial" w:eastAsia="Times New Roman" w:hAnsi="Arial" w:cs="Arial"/>
          <w:vanish/>
          <w:kern w:val="0"/>
          <w:sz w:val="36"/>
          <w:szCs w:val="36"/>
          <w:lang w:eastAsia="fr-FR"/>
          <w14:ligatures w14:val="none"/>
        </w:rPr>
        <w:t>Bas du formulaire</w:t>
      </w:r>
    </w:p>
    <w:p w14:paraId="5EA32B96" w14:textId="5225FB1D" w:rsidR="00BE0391" w:rsidRPr="00BE0391" w:rsidRDefault="00BE0391" w:rsidP="00BE0391">
      <w:pPr>
        <w:spacing w:before="100" w:beforeAutospacing="1" w:after="100" w:afterAutospacing="1" w:line="240" w:lineRule="auto"/>
        <w:jc w:val="center"/>
        <w:outlineLvl w:val="0"/>
        <w:rPr>
          <w:rFonts w:ascii="Times New Roman" w:eastAsia="Times New Roman" w:hAnsi="Times New Roman"/>
          <w:kern w:val="36"/>
          <w:sz w:val="36"/>
          <w:szCs w:val="36"/>
          <w:lang w:eastAsia="fr-FR"/>
          <w14:ligatures w14:val="none"/>
        </w:rPr>
      </w:pPr>
      <w:r w:rsidRPr="00BE0391">
        <w:rPr>
          <w:rFonts w:ascii="Times New Roman" w:eastAsia="Times New Roman" w:hAnsi="Times New Roman"/>
          <w:kern w:val="36"/>
          <w:sz w:val="36"/>
          <w:szCs w:val="36"/>
          <w:lang w:eastAsia="fr-FR"/>
          <w14:ligatures w14:val="none"/>
        </w:rPr>
        <w:t>Le Département de la Guerre Éternelle</w:t>
      </w:r>
      <w:r w:rsidR="00987BA0">
        <w:rPr>
          <w:rFonts w:ascii="Times New Roman" w:eastAsia="Times New Roman" w:hAnsi="Times New Roman"/>
          <w:kern w:val="36"/>
          <w:sz w:val="36"/>
          <w:szCs w:val="36"/>
          <w:lang w:eastAsia="fr-FR"/>
          <w14:ligatures w14:val="none"/>
        </w:rPr>
        <w:t>*</w:t>
      </w:r>
    </w:p>
    <w:p w14:paraId="34CBEFF6" w14:textId="77777777" w:rsidR="00BE0391" w:rsidRPr="00BE0391" w:rsidRDefault="00BE0391" w:rsidP="00BE0391">
      <w:pPr>
        <w:spacing w:after="0" w:line="240" w:lineRule="auto"/>
        <w:jc w:val="both"/>
        <w:rPr>
          <w:rFonts w:ascii="Times New Roman" w:eastAsia="Times New Roman" w:hAnsi="Times New Roman"/>
          <w:kern w:val="0"/>
          <w:sz w:val="24"/>
          <w:szCs w:val="24"/>
          <w:lang w:eastAsia="fr-FR"/>
          <w14:ligatures w14:val="none"/>
        </w:rPr>
      </w:pPr>
      <w:hyperlink r:id="rId4" w:history="1">
        <w:r w:rsidRPr="00BE0391">
          <w:rPr>
            <w:rFonts w:ascii="Times New Roman" w:eastAsia="Times New Roman" w:hAnsi="Times New Roman"/>
            <w:color w:val="0000FF"/>
            <w:kern w:val="0"/>
            <w:sz w:val="24"/>
            <w:szCs w:val="24"/>
            <w:u w:val="single"/>
            <w:lang w:eastAsia="fr-FR"/>
            <w14:ligatures w14:val="none"/>
          </w:rPr>
          <w:t>30 juin 2026</w:t>
        </w:r>
      </w:hyperlink>
    </w:p>
    <w:p w14:paraId="0EC17B60" w14:textId="666A9615" w:rsidR="00BE0391" w:rsidRPr="00BE0391" w:rsidRDefault="00BE0391" w:rsidP="00BE0391">
      <w:pPr>
        <w:spacing w:before="100" w:beforeAutospacing="1" w:after="100" w:afterAutospacing="1" w:line="240" w:lineRule="auto"/>
        <w:jc w:val="both"/>
        <w:rPr>
          <w:rFonts w:ascii="Times New Roman" w:eastAsia="Times New Roman" w:hAnsi="Times New Roman"/>
          <w:kern w:val="0"/>
          <w:sz w:val="28"/>
          <w:szCs w:val="28"/>
          <w:lang w:eastAsia="fr-FR"/>
          <w14:ligatures w14:val="none"/>
        </w:rPr>
      </w:pPr>
      <w:r w:rsidRPr="00BE0391">
        <w:rPr>
          <w:rFonts w:ascii="Times New Roman" w:eastAsia="Times New Roman" w:hAnsi="Times New Roman"/>
          <w:kern w:val="0"/>
          <w:sz w:val="28"/>
          <w:szCs w:val="28"/>
          <w:lang w:eastAsia="fr-FR"/>
          <w14:ligatures w14:val="none"/>
        </w:rPr>
        <w:t xml:space="preserve">Dans son sous-texte The </w:t>
      </w:r>
      <w:proofErr w:type="spellStart"/>
      <w:r w:rsidRPr="00BE0391">
        <w:rPr>
          <w:rFonts w:ascii="Times New Roman" w:eastAsia="Times New Roman" w:hAnsi="Times New Roman"/>
          <w:kern w:val="0"/>
          <w:sz w:val="28"/>
          <w:szCs w:val="28"/>
          <w:lang w:eastAsia="fr-FR"/>
          <w14:ligatures w14:val="none"/>
        </w:rPr>
        <w:t>Kucinich</w:t>
      </w:r>
      <w:proofErr w:type="spellEnd"/>
      <w:r w:rsidRPr="00BE0391">
        <w:rPr>
          <w:rFonts w:ascii="Times New Roman" w:eastAsia="Times New Roman" w:hAnsi="Times New Roman"/>
          <w:kern w:val="0"/>
          <w:sz w:val="28"/>
          <w:szCs w:val="28"/>
          <w:lang w:eastAsia="fr-FR"/>
          <w14:ligatures w14:val="none"/>
        </w:rPr>
        <w:t xml:space="preserve"> Report, l'ancien député Dennis J. </w:t>
      </w:r>
      <w:proofErr w:type="spellStart"/>
      <w:r w:rsidRPr="00BE0391">
        <w:rPr>
          <w:rFonts w:ascii="Times New Roman" w:eastAsia="Times New Roman" w:hAnsi="Times New Roman"/>
          <w:kern w:val="0"/>
          <w:sz w:val="28"/>
          <w:szCs w:val="28"/>
          <w:lang w:eastAsia="fr-FR"/>
          <w14:ligatures w14:val="none"/>
        </w:rPr>
        <w:t>Kucinich</w:t>
      </w:r>
      <w:proofErr w:type="spellEnd"/>
      <w:r w:rsidRPr="00BE0391">
        <w:rPr>
          <w:rFonts w:ascii="Times New Roman" w:eastAsia="Times New Roman" w:hAnsi="Times New Roman"/>
          <w:kern w:val="0"/>
          <w:sz w:val="28"/>
          <w:szCs w:val="28"/>
          <w:lang w:eastAsia="fr-FR"/>
          <w14:ligatures w14:val="none"/>
        </w:rPr>
        <w:t xml:space="preserve"> </w:t>
      </w:r>
      <w:hyperlink r:id="rId5" w:history="1">
        <w:r w:rsidRPr="00BE0391">
          <w:rPr>
            <w:rFonts w:ascii="Times New Roman" w:eastAsia="Times New Roman" w:hAnsi="Times New Roman"/>
            <w:color w:val="0000FF"/>
            <w:kern w:val="0"/>
            <w:sz w:val="28"/>
            <w:szCs w:val="28"/>
            <w:u w:val="single"/>
            <w:lang w:eastAsia="fr-FR"/>
            <w14:ligatures w14:val="none"/>
          </w:rPr>
          <w:t>écrit</w:t>
        </w:r>
      </w:hyperlink>
      <w:r w:rsidRPr="00BE0391">
        <w:rPr>
          <w:rFonts w:ascii="Times New Roman" w:eastAsia="Times New Roman" w:hAnsi="Times New Roman"/>
          <w:kern w:val="0"/>
          <w:sz w:val="28"/>
          <w:szCs w:val="28"/>
          <w:lang w:eastAsia="fr-FR"/>
          <w14:ligatures w14:val="none"/>
        </w:rPr>
        <w:t xml:space="preserve"> qu'un effort imminent est en cours au Congrès pour fusionner officiellement les armées israélienne et américaine. « L'article 219 (anciennement article 224) de la loi d'autorisation de la défense nationale de 2027 prévoit une unification sans précédent. »</w:t>
      </w:r>
    </w:p>
    <w:p w14:paraId="2FA6BE89" w14:textId="77777777" w:rsidR="00BE0391" w:rsidRPr="00BE0391" w:rsidRDefault="00BE0391" w:rsidP="00BE0391">
      <w:pPr>
        <w:spacing w:before="100" w:beforeAutospacing="1" w:after="100" w:afterAutospacing="1" w:line="240" w:lineRule="auto"/>
        <w:jc w:val="both"/>
        <w:rPr>
          <w:rFonts w:ascii="Times New Roman" w:eastAsia="Times New Roman" w:hAnsi="Times New Roman"/>
          <w:kern w:val="0"/>
          <w:sz w:val="28"/>
          <w:szCs w:val="28"/>
          <w:lang w:eastAsia="fr-FR"/>
          <w14:ligatures w14:val="none"/>
        </w:rPr>
      </w:pPr>
      <w:proofErr w:type="spellStart"/>
      <w:r w:rsidRPr="00BE0391">
        <w:rPr>
          <w:rFonts w:ascii="Times New Roman" w:eastAsia="Times New Roman" w:hAnsi="Times New Roman"/>
          <w:kern w:val="0"/>
          <w:sz w:val="28"/>
          <w:szCs w:val="28"/>
          <w:lang w:eastAsia="fr-FR"/>
          <w14:ligatures w14:val="none"/>
        </w:rPr>
        <w:t>Kucinich</w:t>
      </w:r>
      <w:proofErr w:type="spellEnd"/>
      <w:r w:rsidRPr="00BE0391">
        <w:rPr>
          <w:rFonts w:ascii="Times New Roman" w:eastAsia="Times New Roman" w:hAnsi="Times New Roman"/>
          <w:kern w:val="0"/>
          <w:sz w:val="28"/>
          <w:szCs w:val="28"/>
          <w:lang w:eastAsia="fr-FR"/>
          <w14:ligatures w14:val="none"/>
        </w:rPr>
        <w:t xml:space="preserve"> écrit : « L'argent peut être alloué une année et retiré la suivante. L'intégration institutionnelle est permanente. »</w:t>
      </w:r>
    </w:p>
    <w:p w14:paraId="2C974E7D" w14:textId="77777777" w:rsidR="00BE0391" w:rsidRPr="00BE0391" w:rsidRDefault="00BE0391" w:rsidP="00BE0391">
      <w:pPr>
        <w:spacing w:before="100" w:beforeAutospacing="1" w:after="100" w:afterAutospacing="1" w:line="240" w:lineRule="auto"/>
        <w:jc w:val="both"/>
        <w:rPr>
          <w:rFonts w:ascii="Times New Roman" w:eastAsia="Times New Roman" w:hAnsi="Times New Roman"/>
          <w:kern w:val="0"/>
          <w:sz w:val="28"/>
          <w:szCs w:val="28"/>
          <w:lang w:eastAsia="fr-FR"/>
          <w14:ligatures w14:val="none"/>
        </w:rPr>
      </w:pPr>
      <w:proofErr w:type="spellStart"/>
      <w:r w:rsidRPr="00BE0391">
        <w:rPr>
          <w:rFonts w:ascii="Times New Roman" w:eastAsia="Times New Roman" w:hAnsi="Times New Roman"/>
          <w:kern w:val="0"/>
          <w:sz w:val="28"/>
          <w:szCs w:val="28"/>
          <w:lang w:eastAsia="fr-FR"/>
          <w14:ligatures w14:val="none"/>
        </w:rPr>
        <w:t>Kucinich</w:t>
      </w:r>
      <w:proofErr w:type="spellEnd"/>
      <w:r w:rsidRPr="00BE0391">
        <w:rPr>
          <w:rFonts w:ascii="Times New Roman" w:eastAsia="Times New Roman" w:hAnsi="Times New Roman"/>
          <w:kern w:val="0"/>
          <w:sz w:val="28"/>
          <w:szCs w:val="28"/>
          <w:lang w:eastAsia="fr-FR"/>
          <w14:ligatures w14:val="none"/>
        </w:rPr>
        <w:t xml:space="preserve"> soutient que l'article 219 créerait des « mécanismes permanents par lesquels la planification militaire, le partage de renseignements, le développement d'armes, l'approvisionnement, la recherche, l'intelligence artificielle et la coordination stratégique deviendraient de plus en plus étroits entre les États-Unis et Israël.</w:t>
      </w:r>
    </w:p>
    <w:p w14:paraId="43AAE3E8" w14:textId="77777777" w:rsidR="00BE0391" w:rsidRPr="00BE0391" w:rsidRDefault="00BE0391" w:rsidP="00BE0391">
      <w:pPr>
        <w:spacing w:before="100" w:beforeAutospacing="1" w:after="100" w:afterAutospacing="1" w:line="240" w:lineRule="auto"/>
        <w:jc w:val="both"/>
        <w:rPr>
          <w:rFonts w:ascii="Times New Roman" w:eastAsia="Times New Roman" w:hAnsi="Times New Roman"/>
          <w:kern w:val="0"/>
          <w:sz w:val="28"/>
          <w:szCs w:val="28"/>
          <w:lang w:eastAsia="fr-FR"/>
          <w14:ligatures w14:val="none"/>
        </w:rPr>
      </w:pPr>
      <w:r w:rsidRPr="00BE0391">
        <w:rPr>
          <w:rFonts w:ascii="Times New Roman" w:eastAsia="Times New Roman" w:hAnsi="Times New Roman"/>
          <w:kern w:val="0"/>
          <w:sz w:val="28"/>
          <w:szCs w:val="28"/>
          <w:lang w:eastAsia="fr-FR"/>
          <w14:ligatures w14:val="none"/>
        </w:rPr>
        <w:t>« C'est une proposition visant à intégrer l'établissement militaire d'une autre nation dans la planification à long terme et l'architecture stratégique du gouvernement des États-Unis... L'article 219 de la NDAA rendrait les États-Unis dépendants de la décision d'Israël concernant la guerre, la paix, la stratégie militaire, le renseignement et la sécurité nationale américaine. »</w:t>
      </w:r>
    </w:p>
    <w:p w14:paraId="22A62BCE" w14:textId="188C60A0" w:rsidR="00987BA0" w:rsidRPr="00987BA0" w:rsidRDefault="00BE0391" w:rsidP="00BE0391">
      <w:pPr>
        <w:spacing w:before="100" w:beforeAutospacing="1" w:after="100" w:afterAutospacing="1" w:line="240" w:lineRule="auto"/>
        <w:jc w:val="both"/>
        <w:rPr>
          <w:rFonts w:ascii="Times New Roman" w:eastAsia="Times New Roman" w:hAnsi="Times New Roman"/>
          <w:kern w:val="0"/>
          <w:sz w:val="28"/>
          <w:szCs w:val="28"/>
          <w:lang w:eastAsia="fr-FR"/>
          <w14:ligatures w14:val="none"/>
        </w:rPr>
      </w:pPr>
      <w:proofErr w:type="spellStart"/>
      <w:r w:rsidRPr="00BE0391">
        <w:rPr>
          <w:rFonts w:ascii="Times New Roman" w:eastAsia="Times New Roman" w:hAnsi="Times New Roman"/>
          <w:kern w:val="0"/>
          <w:sz w:val="28"/>
          <w:szCs w:val="28"/>
          <w:lang w:eastAsia="fr-FR"/>
          <w14:ligatures w14:val="none"/>
        </w:rPr>
        <w:t>Kucinich</w:t>
      </w:r>
      <w:proofErr w:type="spellEnd"/>
      <w:r w:rsidRPr="00BE0391">
        <w:rPr>
          <w:rFonts w:ascii="Times New Roman" w:eastAsia="Times New Roman" w:hAnsi="Times New Roman"/>
          <w:kern w:val="0"/>
          <w:sz w:val="28"/>
          <w:szCs w:val="28"/>
          <w:lang w:eastAsia="fr-FR"/>
          <w14:ligatures w14:val="none"/>
        </w:rPr>
        <w:t xml:space="preserve"> a déclaré à l'Institute for Public </w:t>
      </w:r>
      <w:proofErr w:type="spellStart"/>
      <w:r w:rsidRPr="00BE0391">
        <w:rPr>
          <w:rFonts w:ascii="Times New Roman" w:eastAsia="Times New Roman" w:hAnsi="Times New Roman"/>
          <w:kern w:val="0"/>
          <w:sz w:val="28"/>
          <w:szCs w:val="28"/>
          <w:lang w:eastAsia="fr-FR"/>
          <w14:ligatures w14:val="none"/>
        </w:rPr>
        <w:t>Accuracy</w:t>
      </w:r>
      <w:proofErr w:type="spellEnd"/>
      <w:r w:rsidRPr="00BE0391">
        <w:rPr>
          <w:rFonts w:ascii="Times New Roman" w:eastAsia="Times New Roman" w:hAnsi="Times New Roman"/>
          <w:kern w:val="0"/>
          <w:sz w:val="28"/>
          <w:szCs w:val="28"/>
          <w:lang w:eastAsia="fr-FR"/>
          <w14:ligatures w14:val="none"/>
        </w:rPr>
        <w:t xml:space="preserve"> : « Il s'agit d'un effort sans précédent visant à fusionner formellement les fonctions militaires entre les États-Unis et un autre pays – en l'occurrence Israël. La fusion se déroule au plus haut niveau et inclut les aspects les plus sophistiqués de la défense. Il n'est un secret pour personne qu'Israël et les États-Unis collaborent étroitement, et il existe une coordination qui existe entre les États-Unis et l'OTAN, mais cela repose sur un traité. </w:t>
      </w:r>
      <w:r w:rsidRPr="00BE0391">
        <w:rPr>
          <w:rFonts w:ascii="Times New Roman" w:eastAsia="Times New Roman" w:hAnsi="Times New Roman"/>
          <w:b/>
          <w:bCs/>
          <w:kern w:val="0"/>
          <w:sz w:val="28"/>
          <w:szCs w:val="28"/>
          <w:u w:val="single"/>
          <w:lang w:eastAsia="fr-FR"/>
          <w14:ligatures w14:val="none"/>
        </w:rPr>
        <w:t xml:space="preserve">Dans ce cas, la coordination entre les États-Unis et Israël est devenue </w:t>
      </w:r>
      <w:r w:rsidRPr="00BE0391">
        <w:rPr>
          <w:rFonts w:ascii="Times New Roman" w:eastAsia="Times New Roman" w:hAnsi="Times New Roman"/>
          <w:b/>
          <w:bCs/>
          <w:kern w:val="0"/>
          <w:sz w:val="28"/>
          <w:szCs w:val="28"/>
          <w:u w:val="single"/>
          <w:lang w:eastAsia="fr-FR"/>
          <w14:ligatures w14:val="none"/>
        </w:rPr>
        <w:lastRenderedPageBreak/>
        <w:t>intrinsèquement inconstitutionnelle – un sacrifice de notre souveraineté.</w:t>
      </w:r>
      <w:r w:rsidR="00987BA0">
        <w:rPr>
          <w:rFonts w:ascii="Times New Roman" w:eastAsia="Times New Roman" w:hAnsi="Times New Roman"/>
          <w:b/>
          <w:bCs/>
          <w:kern w:val="0"/>
          <w:sz w:val="28"/>
          <w:szCs w:val="28"/>
          <w:u w:val="single"/>
          <w:lang w:eastAsia="fr-FR"/>
          <w14:ligatures w14:val="none"/>
        </w:rPr>
        <w:t xml:space="preserve"> </w:t>
      </w:r>
      <w:r w:rsidR="00987BA0" w:rsidRPr="00987BA0">
        <w:rPr>
          <w:rFonts w:ascii="Times New Roman" w:eastAsia="Times New Roman" w:hAnsi="Times New Roman"/>
          <w:kern w:val="0"/>
          <w:sz w:val="28"/>
          <w:szCs w:val="28"/>
          <w:lang w:eastAsia="fr-FR"/>
          <w14:ligatures w14:val="none"/>
        </w:rPr>
        <w:t>Souligné par nous</w:t>
      </w:r>
    </w:p>
    <w:p w14:paraId="3480F8D7" w14:textId="77777777" w:rsidR="00BE0391" w:rsidRPr="00BE0391" w:rsidRDefault="00BE0391" w:rsidP="00BE0391">
      <w:pPr>
        <w:spacing w:before="100" w:beforeAutospacing="1" w:after="100" w:afterAutospacing="1" w:line="240" w:lineRule="auto"/>
        <w:jc w:val="both"/>
        <w:rPr>
          <w:rFonts w:ascii="Times New Roman" w:eastAsia="Times New Roman" w:hAnsi="Times New Roman"/>
          <w:kern w:val="0"/>
          <w:sz w:val="28"/>
          <w:szCs w:val="28"/>
          <w:lang w:eastAsia="fr-FR"/>
          <w14:ligatures w14:val="none"/>
        </w:rPr>
      </w:pPr>
      <w:r w:rsidRPr="00BE0391">
        <w:rPr>
          <w:rFonts w:ascii="Times New Roman" w:eastAsia="Times New Roman" w:hAnsi="Times New Roman"/>
          <w:kern w:val="0"/>
          <w:sz w:val="28"/>
          <w:szCs w:val="28"/>
          <w:lang w:eastAsia="fr-FR"/>
          <w14:ligatures w14:val="none"/>
        </w:rPr>
        <w:t>« C'est très dangereux. Si Israël, dans les conditions précédant cette législation, pouvait pousser le président américain à attaquer l'Iran, imaginez ce qui se passera lorsqu'ils seront officiellement au sein de l'appareil de défense américain. Il ne s'agit pas seulement d'accéder à des décisions de plus de 1,5 billion de dollars de dépenses militaires annuelles, mais aussi de la capacité à influencer les États-Unis pour qu'ils entreprennent encore plus de guerres. Cette [législation] entraînera davantage de guerres – sans aucun doute ––– dans le cadre du sionisme. Nous pourrions très bien finir en guerre en Turquie et en Égypte.</w:t>
      </w:r>
    </w:p>
    <w:p w14:paraId="52D71FFA" w14:textId="235A16B6" w:rsidR="00BE0391" w:rsidRDefault="00BE0391" w:rsidP="00BE0391">
      <w:pPr>
        <w:spacing w:before="100" w:beforeAutospacing="1" w:after="100" w:afterAutospacing="1" w:line="240" w:lineRule="auto"/>
        <w:jc w:val="both"/>
        <w:rPr>
          <w:rFonts w:ascii="Times New Roman" w:eastAsia="Times New Roman" w:hAnsi="Times New Roman"/>
          <w:kern w:val="0"/>
          <w:sz w:val="28"/>
          <w:szCs w:val="28"/>
          <w:lang w:eastAsia="fr-FR"/>
          <w14:ligatures w14:val="none"/>
        </w:rPr>
      </w:pPr>
      <w:r w:rsidRPr="00BE0391">
        <w:rPr>
          <w:rFonts w:ascii="Times New Roman" w:eastAsia="Times New Roman" w:hAnsi="Times New Roman"/>
          <w:kern w:val="0"/>
          <w:sz w:val="28"/>
          <w:szCs w:val="28"/>
          <w:lang w:eastAsia="fr-FR"/>
          <w14:ligatures w14:val="none"/>
        </w:rPr>
        <w:t>« Le meilleur résultat c'est que la proposition  soit abrogée. Le projet de loi est en séance plénière de la Chambre cet après-midi. Ils commencent les débats à 14 heures. Nous le saurons d'ici la fin de la journée. »</w:t>
      </w:r>
    </w:p>
    <w:p w14:paraId="4637DD48" w14:textId="161F6DD1" w:rsidR="00BE0391" w:rsidRPr="00987BA0" w:rsidRDefault="00987BA0" w:rsidP="00BE0391">
      <w:pPr>
        <w:spacing w:before="100" w:beforeAutospacing="1" w:after="100" w:afterAutospacing="1" w:line="240" w:lineRule="auto"/>
        <w:jc w:val="both"/>
        <w:rPr>
          <w:rFonts w:ascii="Times New Roman" w:eastAsia="Times New Roman" w:hAnsi="Times New Roman"/>
          <w:i/>
          <w:iCs/>
          <w:kern w:val="0"/>
          <w:sz w:val="28"/>
          <w:szCs w:val="28"/>
          <w:lang w:val="en-US" w:eastAsia="fr-FR"/>
          <w14:ligatures w14:val="none"/>
        </w:rPr>
      </w:pPr>
      <w:r>
        <w:rPr>
          <w:rFonts w:ascii="Times New Roman" w:eastAsia="Times New Roman" w:hAnsi="Times New Roman"/>
          <w:i/>
          <w:iCs/>
          <w:kern w:val="0"/>
          <w:sz w:val="28"/>
          <w:szCs w:val="28"/>
          <w:lang w:eastAsia="fr-FR"/>
          <w14:ligatures w14:val="none"/>
        </w:rPr>
        <w:t>*</w:t>
      </w:r>
      <w:r w:rsidR="00BE0391" w:rsidRPr="00987BA0">
        <w:rPr>
          <w:rFonts w:ascii="Times New Roman" w:eastAsia="Times New Roman" w:hAnsi="Times New Roman"/>
          <w:i/>
          <w:iCs/>
          <w:kern w:val="0"/>
          <w:sz w:val="28"/>
          <w:szCs w:val="28"/>
          <w:lang w:eastAsia="fr-FR"/>
          <w14:ligatures w14:val="none"/>
        </w:rPr>
        <w:t>Document original</w:t>
      </w:r>
      <w:r w:rsidRPr="00987BA0">
        <w:rPr>
          <w:rFonts w:ascii="Times New Roman" w:eastAsia="Times New Roman" w:hAnsi="Times New Roman"/>
          <w:i/>
          <w:iCs/>
          <w:kern w:val="0"/>
          <w:sz w:val="28"/>
          <w:szCs w:val="28"/>
          <w:lang w:eastAsia="fr-FR"/>
          <w14:ligatures w14:val="none"/>
        </w:rPr>
        <w:t xml:space="preserve"> publié le 30.06 par INSTITUTE OF PUBLIC ACCURACY</w:t>
      </w:r>
    </w:p>
    <w:p w14:paraId="70E7B2F5" w14:textId="77777777" w:rsidR="00BE0391" w:rsidRPr="00BE0391" w:rsidRDefault="00BE0391" w:rsidP="00087944">
      <w:pPr>
        <w:spacing w:before="100" w:beforeAutospacing="1" w:after="100" w:afterAutospacing="1" w:line="240" w:lineRule="auto"/>
        <w:jc w:val="center"/>
        <w:rPr>
          <w:b/>
          <w:bCs/>
          <w:color w:val="0070C0"/>
          <w:lang w:val="en-US"/>
        </w:rPr>
      </w:pPr>
    </w:p>
    <w:sectPr w:rsidR="00BE0391" w:rsidRPr="00BE03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944"/>
    <w:rsid w:val="0002785A"/>
    <w:rsid w:val="00040194"/>
    <w:rsid w:val="00087944"/>
    <w:rsid w:val="000D7E0E"/>
    <w:rsid w:val="00235129"/>
    <w:rsid w:val="004C6365"/>
    <w:rsid w:val="005E6849"/>
    <w:rsid w:val="00862B20"/>
    <w:rsid w:val="00987BA0"/>
    <w:rsid w:val="00BE0391"/>
    <w:rsid w:val="00D120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E3B6"/>
  <w15:chartTrackingRefBased/>
  <w15:docId w15:val="{ADA9A18B-C410-40B9-A1F3-39D291AF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944"/>
    <w:pPr>
      <w:spacing w:line="256" w:lineRule="auto"/>
    </w:pPr>
    <w:rPr>
      <w:rFonts w:ascii="Calibri" w:eastAsia="Calibri" w:hAnsi="Calibri" w:cs="Times New Roman"/>
    </w:rPr>
  </w:style>
  <w:style w:type="paragraph" w:styleId="Titre1">
    <w:name w:val="heading 1"/>
    <w:basedOn w:val="Normal"/>
    <w:next w:val="Normal"/>
    <w:link w:val="Titre1Car"/>
    <w:uiPriority w:val="9"/>
    <w:qFormat/>
    <w:rsid w:val="00087944"/>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087944"/>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087944"/>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087944"/>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087944"/>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087944"/>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087944"/>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087944"/>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087944"/>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794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08794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08794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08794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08794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08794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8794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8794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87944"/>
    <w:rPr>
      <w:rFonts w:eastAsiaTheme="majorEastAsia" w:cstheme="majorBidi"/>
      <w:color w:val="272727" w:themeColor="text1" w:themeTint="D8"/>
    </w:rPr>
  </w:style>
  <w:style w:type="paragraph" w:styleId="Titre">
    <w:name w:val="Title"/>
    <w:basedOn w:val="Normal"/>
    <w:next w:val="Normal"/>
    <w:link w:val="TitreCar"/>
    <w:uiPriority w:val="10"/>
    <w:qFormat/>
    <w:rsid w:val="00087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8794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87944"/>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8794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87944"/>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CitationCar">
    <w:name w:val="Citation Car"/>
    <w:basedOn w:val="Policepardfaut"/>
    <w:link w:val="Citation"/>
    <w:uiPriority w:val="29"/>
    <w:rsid w:val="00087944"/>
    <w:rPr>
      <w:i/>
      <w:iCs/>
      <w:color w:val="404040" w:themeColor="text1" w:themeTint="BF"/>
    </w:rPr>
  </w:style>
  <w:style w:type="paragraph" w:styleId="Paragraphedeliste">
    <w:name w:val="List Paragraph"/>
    <w:basedOn w:val="Normal"/>
    <w:uiPriority w:val="34"/>
    <w:qFormat/>
    <w:rsid w:val="00087944"/>
    <w:pPr>
      <w:spacing w:line="259" w:lineRule="auto"/>
      <w:ind w:left="720"/>
      <w:contextualSpacing/>
    </w:pPr>
    <w:rPr>
      <w:rFonts w:asciiTheme="minorHAnsi" w:eastAsiaTheme="minorHAnsi" w:hAnsiTheme="minorHAnsi" w:cstheme="minorBidi"/>
    </w:rPr>
  </w:style>
  <w:style w:type="character" w:styleId="Accentuationintense">
    <w:name w:val="Intense Emphasis"/>
    <w:basedOn w:val="Policepardfaut"/>
    <w:uiPriority w:val="21"/>
    <w:qFormat/>
    <w:rsid w:val="00087944"/>
    <w:rPr>
      <w:i/>
      <w:iCs/>
      <w:color w:val="2F5496" w:themeColor="accent1" w:themeShade="BF"/>
    </w:rPr>
  </w:style>
  <w:style w:type="paragraph" w:styleId="Citationintense">
    <w:name w:val="Intense Quote"/>
    <w:basedOn w:val="Normal"/>
    <w:next w:val="Normal"/>
    <w:link w:val="CitationintenseCar"/>
    <w:uiPriority w:val="30"/>
    <w:qFormat/>
    <w:rsid w:val="000879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CitationintenseCar">
    <w:name w:val="Citation intense Car"/>
    <w:basedOn w:val="Policepardfaut"/>
    <w:link w:val="Citationintense"/>
    <w:uiPriority w:val="30"/>
    <w:rsid w:val="00087944"/>
    <w:rPr>
      <w:i/>
      <w:iCs/>
      <w:color w:val="2F5496" w:themeColor="accent1" w:themeShade="BF"/>
    </w:rPr>
  </w:style>
  <w:style w:type="character" w:styleId="Rfrenceintense">
    <w:name w:val="Intense Reference"/>
    <w:basedOn w:val="Policepardfaut"/>
    <w:uiPriority w:val="32"/>
    <w:qFormat/>
    <w:rsid w:val="000879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kucinichreport.substack.com/p/war-crimes-war-powers-and-american?r=195ct&amp;triedRedirect=true" TargetMode="External"/><Relationship Id="rId4" Type="http://schemas.openxmlformats.org/officeDocument/2006/relationships/hyperlink" Target="https://accuracy.org/release/the-department-of-forever-wa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478</Words>
  <Characters>2633</Characters>
  <Application>Microsoft Office Word</Application>
  <DocSecurity>0</DocSecurity>
  <Lines>21</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genet bernard</dc:creator>
  <cp:keywords/>
  <dc:description/>
  <cp:lastModifiedBy>genet bernard</cp:lastModifiedBy>
  <cp:revision>2</cp:revision>
  <dcterms:created xsi:type="dcterms:W3CDTF">2026-07-01T09:54:00Z</dcterms:created>
  <dcterms:modified xsi:type="dcterms:W3CDTF">2026-07-01T09:54:00Z</dcterms:modified>
</cp:coreProperties>
</file>