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8C5D6" w14:textId="77777777" w:rsidR="005B2A8F" w:rsidRDefault="00000000">
      <w:pPr>
        <w:jc w:val="center"/>
        <w:rPr>
          <w:sz w:val="48"/>
          <w:szCs w:val="48"/>
        </w:rPr>
      </w:pPr>
      <w:r>
        <w:rPr>
          <w:sz w:val="48"/>
          <w:szCs w:val="48"/>
        </w:rPr>
        <w:t>Souiller  l’ONU</w:t>
      </w:r>
    </w:p>
    <w:p w14:paraId="554A5A57" w14:textId="72282602" w:rsidR="005B2A8F" w:rsidRDefault="00000000">
      <w:pPr>
        <w:jc w:val="center"/>
        <w:rPr>
          <w:sz w:val="48"/>
          <w:szCs w:val="48"/>
        </w:rPr>
      </w:pPr>
      <w:r>
        <w:rPr>
          <w:sz w:val="48"/>
          <w:szCs w:val="48"/>
        </w:rPr>
        <w:t>Ça suffit</w:t>
      </w:r>
      <w:r w:rsidR="0064386A">
        <w:rPr>
          <w:sz w:val="48"/>
          <w:szCs w:val="48"/>
        </w:rPr>
        <w:t> !</w:t>
      </w:r>
    </w:p>
    <w:p w14:paraId="20788CE8" w14:textId="77777777" w:rsidR="005B2A8F" w:rsidRDefault="00000000">
      <w:pPr>
        <w:jc w:val="both"/>
        <w:rPr>
          <w:sz w:val="28"/>
          <w:szCs w:val="28"/>
        </w:rPr>
      </w:pPr>
      <w:r>
        <w:rPr>
          <w:sz w:val="28"/>
          <w:szCs w:val="28"/>
        </w:rPr>
        <w:t>Une nouvelle fois le premier ministre israélien est venu déverser à la tribune de l’Assemblée générale des Nations unies ses propos incompatibles avec la charte des Nations Unies.  Le fait que la majorité des délégués présents aient quitté la salle  quand il a pris la parole n’est qu’une bien maigre satisfaction.</w:t>
      </w:r>
    </w:p>
    <w:p w14:paraId="4BC256D4" w14:textId="78B09605" w:rsidR="005B2A8F" w:rsidRDefault="00000000">
      <w:pPr>
        <w:jc w:val="both"/>
        <w:rPr>
          <w:sz w:val="28"/>
          <w:szCs w:val="28"/>
        </w:rPr>
      </w:pPr>
      <w:r>
        <w:rPr>
          <w:sz w:val="28"/>
          <w:szCs w:val="28"/>
        </w:rPr>
        <w:t xml:space="preserve"> Il reste que par sa bouche les sionistes viennent à la face du reste du monde affirmer une nouvelle fois qu’ils sont et entendent bien rester chez eux</w:t>
      </w:r>
      <w:r w:rsidR="00925F7F">
        <w:rPr>
          <w:sz w:val="28"/>
          <w:szCs w:val="28"/>
        </w:rPr>
        <w:t xml:space="preserve"> par la violence</w:t>
      </w:r>
      <w:r>
        <w:rPr>
          <w:sz w:val="28"/>
          <w:szCs w:val="28"/>
        </w:rPr>
        <w:t xml:space="preserve"> </w:t>
      </w:r>
      <w:r w:rsidR="0064386A">
        <w:rPr>
          <w:sz w:val="28"/>
          <w:szCs w:val="28"/>
        </w:rPr>
        <w:t xml:space="preserve">et par le meurtre </w:t>
      </w:r>
      <w:r>
        <w:rPr>
          <w:sz w:val="28"/>
          <w:szCs w:val="28"/>
        </w:rPr>
        <w:t xml:space="preserve">sur tout le territoire de la  Palestine, au Liban et en Syrie. </w:t>
      </w:r>
    </w:p>
    <w:p w14:paraId="7989E5D8" w14:textId="77777777" w:rsidR="005B2A8F" w:rsidRDefault="00000000">
      <w:pPr>
        <w:jc w:val="both"/>
        <w:rPr>
          <w:sz w:val="28"/>
          <w:szCs w:val="28"/>
        </w:rPr>
      </w:pPr>
      <w:r>
        <w:rPr>
          <w:sz w:val="28"/>
          <w:szCs w:val="28"/>
        </w:rPr>
        <w:t>L’ONU va-t-elle encore longtemps se laisser sans réagir piétiner  par un Etat à qui elle a en fait laissé la bride sur le cou depuis 1948 ?</w:t>
      </w:r>
    </w:p>
    <w:p w14:paraId="3A437FB6" w14:textId="21963893" w:rsidR="005B2A8F" w:rsidRDefault="00000000">
      <w:pPr>
        <w:jc w:val="both"/>
        <w:rPr>
          <w:sz w:val="28"/>
          <w:szCs w:val="28"/>
        </w:rPr>
      </w:pPr>
      <w:r>
        <w:rPr>
          <w:sz w:val="28"/>
          <w:szCs w:val="28"/>
        </w:rPr>
        <w:t xml:space="preserve">Il faut se souvenir qu’en d’autres temps l’ONU avait su rappeler à l’ordre un État membre qui violait ouvertement </w:t>
      </w:r>
      <w:r w:rsidR="00925F7F">
        <w:rPr>
          <w:sz w:val="28"/>
          <w:szCs w:val="28"/>
        </w:rPr>
        <w:t>s</w:t>
      </w:r>
      <w:r>
        <w:rPr>
          <w:sz w:val="28"/>
          <w:szCs w:val="28"/>
        </w:rPr>
        <w:t>a charte.</w:t>
      </w:r>
    </w:p>
    <w:p w14:paraId="4A8746DA" w14:textId="299C9721" w:rsidR="005B2A8F" w:rsidRDefault="00000000">
      <w:pPr>
        <w:jc w:val="both"/>
        <w:rPr>
          <w:sz w:val="28"/>
          <w:szCs w:val="28"/>
        </w:rPr>
      </w:pPr>
      <w:r>
        <w:rPr>
          <w:sz w:val="28"/>
          <w:szCs w:val="28"/>
        </w:rPr>
        <w:t>Nous sommes en 1974</w:t>
      </w:r>
      <w:r w:rsidR="00925F7F">
        <w:rPr>
          <w:sz w:val="28"/>
          <w:szCs w:val="28"/>
        </w:rPr>
        <w:t>. L</w:t>
      </w:r>
      <w:r>
        <w:rPr>
          <w:sz w:val="28"/>
          <w:szCs w:val="28"/>
        </w:rPr>
        <w:t xml:space="preserve">’état d’Afrique du sud pratique sa politique d’apartheid raciste depuis  1948 . L’ANC qui s’y oppose est mis hors la loi et passe à la lutte armée. Au début des années 70 la lutte contre l’apartheid rencontre un écho international de plus en plus fort et en 1973 l’ONU reconnaît l’ANC comme représentant du peuple sud-africain </w:t>
      </w:r>
      <w:r w:rsidR="00925F7F">
        <w:rPr>
          <w:sz w:val="28"/>
          <w:szCs w:val="28"/>
        </w:rPr>
        <w:t>opprimé.</w:t>
      </w:r>
    </w:p>
    <w:p w14:paraId="42B5FBF3" w14:textId="29783A80" w:rsidR="005B2A8F" w:rsidRDefault="00000000">
      <w:pPr>
        <w:jc w:val="both"/>
        <w:rPr>
          <w:sz w:val="28"/>
          <w:szCs w:val="28"/>
        </w:rPr>
      </w:pPr>
      <w:r>
        <w:rPr>
          <w:sz w:val="28"/>
          <w:szCs w:val="28"/>
        </w:rPr>
        <w:t>Conséquence : Le 30 septembre 1974 l’Assemblée générale de l’ONU refuse la présence de  la délégation officielle du gouvernement d’apartheid</w:t>
      </w:r>
      <w:r w:rsidR="0064386A">
        <w:rPr>
          <w:sz w:val="28"/>
          <w:szCs w:val="28"/>
        </w:rPr>
        <w:t>.</w:t>
      </w:r>
    </w:p>
    <w:p w14:paraId="5A8F828D" w14:textId="01D78A2A" w:rsidR="005B2A8F" w:rsidRDefault="00000000">
      <w:pPr>
        <w:jc w:val="both"/>
        <w:rPr>
          <w:sz w:val="28"/>
          <w:szCs w:val="28"/>
        </w:rPr>
      </w:pPr>
      <w:r>
        <w:rPr>
          <w:sz w:val="28"/>
          <w:szCs w:val="28"/>
        </w:rPr>
        <w:t>Le 30 octobre</w:t>
      </w:r>
      <w:r w:rsidR="00925F7F">
        <w:rPr>
          <w:sz w:val="28"/>
          <w:szCs w:val="28"/>
        </w:rPr>
        <w:t xml:space="preserve"> de </w:t>
      </w:r>
      <w:proofErr w:type="spellStart"/>
      <w:r w:rsidR="00925F7F">
        <w:rPr>
          <w:sz w:val="28"/>
          <w:szCs w:val="28"/>
        </w:rPr>
        <w:t>la</w:t>
      </w:r>
      <w:proofErr w:type="spellEnd"/>
      <w:r w:rsidR="00925F7F">
        <w:rPr>
          <w:sz w:val="28"/>
          <w:szCs w:val="28"/>
        </w:rPr>
        <w:t xml:space="preserve"> même année </w:t>
      </w:r>
      <w:r>
        <w:rPr>
          <w:sz w:val="28"/>
          <w:szCs w:val="28"/>
        </w:rPr>
        <w:t xml:space="preserve"> le Conseil de  sécurité saisi par 4 pays : Kenya, Mauritanie, Cameroun, Irak d’une demande d’exclusion de l’Afrique du Sud de l’ONU la  vote . Le veto  des 3 puissances occidentales : France, Royaume uni et États-Unis bloque la mesure,</w:t>
      </w:r>
    </w:p>
    <w:p w14:paraId="4E903CEE" w14:textId="77777777" w:rsidR="005B2A8F" w:rsidRDefault="00000000">
      <w:pPr>
        <w:jc w:val="both"/>
        <w:rPr>
          <w:sz w:val="28"/>
          <w:szCs w:val="28"/>
        </w:rPr>
      </w:pPr>
      <w:r>
        <w:rPr>
          <w:sz w:val="28"/>
          <w:szCs w:val="28"/>
        </w:rPr>
        <w:t>Le 12 Novembre sur proposition de la Tanzanie l’assemblée générale suspend l’Afrique du Sud de tous les travaux de l’ONU</w:t>
      </w:r>
    </w:p>
    <w:p w14:paraId="0E7E4AE9" w14:textId="77777777" w:rsidR="005B2A8F" w:rsidRPr="00F242C0" w:rsidRDefault="00000000">
      <w:pPr>
        <w:jc w:val="both"/>
        <w:rPr>
          <w:sz w:val="24"/>
          <w:szCs w:val="24"/>
        </w:rPr>
      </w:pPr>
      <w:r w:rsidRPr="00F242C0">
        <w:rPr>
          <w:rStyle w:val="font-semibold"/>
          <w:rFonts w:ascii="Calibri" w:hAnsi="Calibri"/>
          <w:sz w:val="24"/>
          <w:szCs w:val="24"/>
        </w:rPr>
        <w:t>Votent Pour : 91 Pays</w:t>
      </w:r>
    </w:p>
    <w:p w14:paraId="1E0C74F5" w14:textId="40428BD9" w:rsidR="005B2A8F" w:rsidRDefault="00000000">
      <w:pPr>
        <w:jc w:val="both"/>
        <w:rPr>
          <w:rFonts w:ascii="Calibri" w:hAnsi="Calibri"/>
        </w:rPr>
      </w:pPr>
      <w:r w:rsidRPr="00F242C0">
        <w:rPr>
          <w:rFonts w:ascii="Calibri" w:hAnsi="Calibri"/>
          <w:sz w:val="24"/>
          <w:szCs w:val="24"/>
        </w:rPr>
        <w:t>Afghanistan, Algérie</w:t>
      </w:r>
      <w:r w:rsidR="00581F1F" w:rsidRPr="00F242C0">
        <w:rPr>
          <w:rFonts w:ascii="Calibri" w:hAnsi="Calibri"/>
          <w:sz w:val="24"/>
          <w:szCs w:val="24"/>
        </w:rPr>
        <w:t xml:space="preserve"> Angola</w:t>
      </w:r>
      <w:r w:rsidRPr="00F242C0">
        <w:rPr>
          <w:rFonts w:ascii="Calibri" w:hAnsi="Calibri"/>
          <w:sz w:val="24"/>
          <w:szCs w:val="24"/>
        </w:rPr>
        <w:t xml:space="preserve"> Argentine, </w:t>
      </w:r>
      <w:r w:rsidR="00581F1F" w:rsidRPr="00F242C0">
        <w:rPr>
          <w:rFonts w:ascii="Calibri" w:hAnsi="Calibri"/>
          <w:sz w:val="24"/>
          <w:szCs w:val="24"/>
        </w:rPr>
        <w:t xml:space="preserve">Arabie Saoudite </w:t>
      </w:r>
      <w:r w:rsidRPr="00F242C0">
        <w:rPr>
          <w:rFonts w:ascii="Calibri" w:hAnsi="Calibri"/>
          <w:sz w:val="24"/>
          <w:szCs w:val="24"/>
        </w:rPr>
        <w:t xml:space="preserve">Australie, Autriche, </w:t>
      </w:r>
      <w:r w:rsidR="00581F1F" w:rsidRPr="00F242C0">
        <w:rPr>
          <w:rFonts w:ascii="Calibri" w:hAnsi="Calibri"/>
          <w:sz w:val="24"/>
          <w:szCs w:val="24"/>
        </w:rPr>
        <w:t xml:space="preserve">Bahamas </w:t>
      </w:r>
      <w:r w:rsidRPr="00F242C0">
        <w:rPr>
          <w:rFonts w:ascii="Calibri" w:hAnsi="Calibri"/>
          <w:sz w:val="24"/>
          <w:szCs w:val="24"/>
        </w:rPr>
        <w:t>Bahreïn, Bangladesh, Barbade,  Bhoutan, Bolivie, , Bulgarie, Birmanie, Burundi, Biélorussie , , Cap Vert, Tchad,, Chine , Congo, , Cuba, Chypre, Tchécoslovaquie, Dahomey,  Yémen, Danemark,  République Dominicaine, , Égypte, El Salvador, Éthiopie,</w:t>
      </w:r>
      <w:r w:rsidR="00925F7F">
        <w:rPr>
          <w:rFonts w:ascii="Calibri" w:hAnsi="Calibri"/>
          <w:sz w:val="24"/>
          <w:szCs w:val="24"/>
        </w:rPr>
        <w:t xml:space="preserve"> </w:t>
      </w:r>
      <w:r w:rsidRPr="00F242C0">
        <w:rPr>
          <w:rFonts w:ascii="Calibri" w:hAnsi="Calibri"/>
          <w:sz w:val="24"/>
          <w:szCs w:val="24"/>
        </w:rPr>
        <w:t xml:space="preserve">Gambie, Ghana,  Grenade, Guatemala, </w:t>
      </w:r>
      <w:r w:rsidRPr="00F242C0">
        <w:rPr>
          <w:rFonts w:ascii="Calibri" w:hAnsi="Calibri"/>
          <w:sz w:val="24"/>
          <w:szCs w:val="24"/>
        </w:rPr>
        <w:lastRenderedPageBreak/>
        <w:t>Guinée, Guinée-Bissau, Guyana, Haïti,  Hongrie, Islande, Inde, Indonésie, Iran, Irak, Irlande, , Jamaïque,  Jordanie, Kenya, Koweït, Laos, Liban, Lesotho, Liberia, Libye,</w:t>
      </w:r>
      <w:r w:rsidR="00581F1F" w:rsidRPr="00F242C0">
        <w:rPr>
          <w:rFonts w:ascii="Calibri" w:hAnsi="Calibri"/>
          <w:sz w:val="24"/>
          <w:szCs w:val="24"/>
        </w:rPr>
        <w:t xml:space="preserve"> </w:t>
      </w:r>
      <w:r w:rsidRPr="00F242C0">
        <w:rPr>
          <w:rFonts w:ascii="Calibri" w:hAnsi="Calibri"/>
          <w:sz w:val="24"/>
          <w:szCs w:val="24"/>
        </w:rPr>
        <w:t>Madagascar, Malaisie, Maldives, Mali, Malte,</w:t>
      </w:r>
      <w:r>
        <w:rPr>
          <w:rFonts w:ascii="Calibri" w:hAnsi="Calibri"/>
        </w:rPr>
        <w:t xml:space="preserve"> Mauritanie, Mexico, Mongolie, Maroc, Népal, Nicaragua, Niger, Nigeria, , Oman, Pakistan, Panama, Papouasie Nouvelle Guinée, Pérou, , Pologne, Qatar, Roumanie, Rwanda,</w:t>
      </w:r>
      <w:r w:rsidR="00F242C0">
        <w:rPr>
          <w:rFonts w:ascii="Calibri" w:hAnsi="Calibri"/>
        </w:rPr>
        <w:t xml:space="preserve"> </w:t>
      </w:r>
      <w:r>
        <w:rPr>
          <w:rFonts w:ascii="Calibri" w:hAnsi="Calibri"/>
        </w:rPr>
        <w:t>Sénégal, Sierra Leone, Singapour, Somalie, Sri Lanka, Soudan, Swaziland, Syrie, Tanzanie, Thaïlande, Togo, Trinidad et Tobago, Tunisie, Ouganda, Ukraine,</w:t>
      </w:r>
      <w:r w:rsidR="00F242C0">
        <w:rPr>
          <w:rFonts w:ascii="Calibri" w:hAnsi="Calibri"/>
        </w:rPr>
        <w:t xml:space="preserve"> </w:t>
      </w:r>
      <w:r>
        <w:rPr>
          <w:rFonts w:ascii="Calibri" w:hAnsi="Calibri"/>
        </w:rPr>
        <w:t>Émirats arabes Unis, Royaume Uni, Haute-Volta, Uruguay,</w:t>
      </w:r>
      <w:r w:rsidR="00581F1F">
        <w:rPr>
          <w:rFonts w:ascii="Calibri" w:hAnsi="Calibri"/>
        </w:rPr>
        <w:t xml:space="preserve"> </w:t>
      </w:r>
      <w:r>
        <w:rPr>
          <w:rFonts w:ascii="Calibri" w:hAnsi="Calibri"/>
        </w:rPr>
        <w:t>Vietnam, Yémen, Yougoslavie, Zaïre et Zambie.</w:t>
      </w:r>
    </w:p>
    <w:p w14:paraId="5EEFAA34" w14:textId="77777777" w:rsidR="005B2A8F" w:rsidRDefault="00000000">
      <w:pPr>
        <w:pStyle w:val="NormalWeb"/>
        <w:spacing w:before="280" w:after="280"/>
        <w:rPr>
          <w:rFonts w:ascii="Calibri" w:hAnsi="Calibri"/>
        </w:rPr>
      </w:pPr>
      <w:r>
        <w:rPr>
          <w:rFonts w:ascii="Calibri" w:hAnsi="Calibri"/>
        </w:rPr>
        <w:t>Clairement le camp des décolonisés plus les démocraties populaires et quelques amis neutralistes</w:t>
      </w:r>
    </w:p>
    <w:p w14:paraId="2B616682" w14:textId="77777777" w:rsidR="005B2A8F" w:rsidRDefault="00000000">
      <w:pPr>
        <w:pStyle w:val="NormalWeb"/>
        <w:spacing w:before="280" w:after="280"/>
      </w:pPr>
      <w:r>
        <w:rPr>
          <w:rFonts w:ascii="Calibri" w:hAnsi="Calibri"/>
        </w:rPr>
        <w:t xml:space="preserve">Votent </w:t>
      </w:r>
      <w:r>
        <w:rPr>
          <w:rStyle w:val="font-semibold"/>
          <w:rFonts w:ascii="Calibri" w:hAnsi="Calibri"/>
        </w:rPr>
        <w:t>Contre :</w:t>
      </w:r>
    </w:p>
    <w:p w14:paraId="52A645FE" w14:textId="77777777" w:rsidR="005B2A8F" w:rsidRDefault="00000000">
      <w:pPr>
        <w:pStyle w:val="NormalWeb"/>
        <w:spacing w:before="280" w:after="280"/>
      </w:pPr>
      <w:r>
        <w:rPr>
          <w:rStyle w:val="font-semibold"/>
          <w:rFonts w:ascii="Calibri" w:hAnsi="Calibri"/>
        </w:rPr>
        <w:t>Australie, Autriche, Belgique, Canada, Danemark, Espagne Finlande, France, Islande, Irlande, Israël, Italie, Luxembourg, Malte, Pays-Bas, Nouvelle Zélande, Norvège, Portugal, , Suède, Turquie  Royaume Uni et États-Unis,</w:t>
      </w:r>
    </w:p>
    <w:p w14:paraId="17D3CAD3" w14:textId="77777777" w:rsidR="0064386A" w:rsidRDefault="00000000" w:rsidP="0064386A">
      <w:pPr>
        <w:jc w:val="both"/>
        <w:rPr>
          <w:rStyle w:val="font-semibold"/>
          <w:rFonts w:ascii="Calibri" w:hAnsi="Calibri"/>
          <w:sz w:val="24"/>
          <w:szCs w:val="24"/>
        </w:rPr>
      </w:pPr>
      <w:r>
        <w:rPr>
          <w:rStyle w:val="font-semibold"/>
          <w:rFonts w:ascii="Calibri" w:hAnsi="Calibri"/>
          <w:sz w:val="24"/>
          <w:szCs w:val="24"/>
        </w:rPr>
        <w:t>C’est le monde blanc colonisateur et son leader</w:t>
      </w:r>
    </w:p>
    <w:p w14:paraId="2D9264A5" w14:textId="69F844F5" w:rsidR="005B2A8F" w:rsidRDefault="0064386A" w:rsidP="0064386A">
      <w:pPr>
        <w:jc w:val="both"/>
      </w:pPr>
      <w:r>
        <w:rPr>
          <w:rStyle w:val="font-semibold"/>
          <w:rFonts w:ascii="Calibri" w:hAnsi="Calibri"/>
        </w:rPr>
        <w:t>19</w:t>
      </w:r>
      <w:r>
        <w:rPr>
          <w:rStyle w:val="font-semibold"/>
          <w:rFonts w:ascii="Calibri" w:hAnsi="Calibri"/>
        </w:rPr>
        <w:t xml:space="preserve"> s</w:t>
      </w:r>
      <w:r w:rsidR="00000000">
        <w:rPr>
          <w:rStyle w:val="font-semibold"/>
          <w:rFonts w:ascii="Calibri" w:hAnsi="Calibri"/>
        </w:rPr>
        <w:t>’abstiennent) :</w:t>
      </w:r>
      <w:r w:rsidR="00000000">
        <w:rPr>
          <w:rFonts w:ascii="Calibri" w:hAnsi="Calibri"/>
        </w:rPr>
        <w:t xml:space="preserve"> </w:t>
      </w:r>
    </w:p>
    <w:p w14:paraId="642BE442" w14:textId="6864DA21" w:rsidR="005B2A8F" w:rsidRDefault="00000000">
      <w:pPr>
        <w:pStyle w:val="NormalWeb"/>
        <w:spacing w:before="280" w:after="280"/>
      </w:pPr>
      <w:r>
        <w:rPr>
          <w:rStyle w:val="font-semibold"/>
          <w:rFonts w:ascii="Calibri" w:hAnsi="Calibri"/>
        </w:rPr>
        <w:t>Botswana, Brésil, Chili, Colombie, Costa Rica, Équateur, Fidji, Gabon, Grèce, Guatemala, Honduras,</w:t>
      </w:r>
      <w:r w:rsidR="00581F1F">
        <w:rPr>
          <w:rStyle w:val="font-semibold"/>
          <w:rFonts w:ascii="Calibri" w:hAnsi="Calibri"/>
        </w:rPr>
        <w:t xml:space="preserve"> </w:t>
      </w:r>
      <w:r>
        <w:rPr>
          <w:rStyle w:val="font-semibold"/>
          <w:rFonts w:ascii="Calibri" w:hAnsi="Calibri"/>
        </w:rPr>
        <w:t xml:space="preserve">Côte </w:t>
      </w:r>
      <w:r w:rsidR="0063094B">
        <w:rPr>
          <w:rStyle w:val="font-semibold"/>
          <w:rFonts w:ascii="Calibri" w:hAnsi="Calibri"/>
        </w:rPr>
        <w:t>d’Ivoire,</w:t>
      </w:r>
      <w:r>
        <w:rPr>
          <w:rStyle w:val="font-semibold"/>
          <w:rFonts w:ascii="Calibri" w:hAnsi="Calibri"/>
        </w:rPr>
        <w:t xml:space="preserve"> Japon, Malawi, Maurice, Philippines et Venezuela.</w:t>
      </w:r>
    </w:p>
    <w:p w14:paraId="02E09B69" w14:textId="1304B6F1" w:rsidR="005B2A8F" w:rsidRDefault="00000000">
      <w:pPr>
        <w:pStyle w:val="NormalWeb"/>
        <w:spacing w:before="280" w:after="280"/>
      </w:pPr>
      <w:r>
        <w:rPr>
          <w:rStyle w:val="font-semibold"/>
          <w:rFonts w:ascii="Calibri" w:hAnsi="Calibri"/>
        </w:rPr>
        <w:t xml:space="preserve">Ce sont des néo colonisés, indépendants formellement. Notons que </w:t>
      </w:r>
      <w:r w:rsidR="0063094B">
        <w:rPr>
          <w:rStyle w:val="font-semibold"/>
          <w:rFonts w:ascii="Calibri" w:hAnsi="Calibri"/>
        </w:rPr>
        <w:t xml:space="preserve">certaines </w:t>
      </w:r>
      <w:r>
        <w:rPr>
          <w:rStyle w:val="font-semibold"/>
          <w:rFonts w:ascii="Calibri" w:hAnsi="Calibri"/>
        </w:rPr>
        <w:t xml:space="preserve"> ex-colonies françaises restent ainsi sous tutelle diplomatique à l’ONU  et votent « comme le patron ». </w:t>
      </w:r>
    </w:p>
    <w:p w14:paraId="7DB6C00A" w14:textId="56D2FA0F" w:rsidR="005B2A8F" w:rsidRPr="00F242C0" w:rsidRDefault="00000000" w:rsidP="00F242C0">
      <w:pPr>
        <w:pStyle w:val="NormalWeb"/>
        <w:spacing w:before="280" w:after="280"/>
        <w:jc w:val="both"/>
        <w:rPr>
          <w:sz w:val="28"/>
          <w:szCs w:val="28"/>
        </w:rPr>
      </w:pPr>
      <w:r w:rsidRPr="00F242C0">
        <w:rPr>
          <w:rStyle w:val="font-semibold"/>
          <w:rFonts w:ascii="Calibri" w:hAnsi="Calibri"/>
          <w:b/>
          <w:bCs/>
          <w:sz w:val="28"/>
          <w:szCs w:val="28"/>
        </w:rPr>
        <w:t>Conséquence : l’Afrique du Sud est suspendue  et le restera pendant 20 ans après que se soient tenues  les premières élections libres de 1994</w:t>
      </w:r>
      <w:r w:rsidR="00F242C0">
        <w:rPr>
          <w:rStyle w:val="font-semibold"/>
          <w:rFonts w:ascii="Calibri" w:hAnsi="Calibri"/>
          <w:b/>
          <w:bCs/>
          <w:sz w:val="28"/>
          <w:szCs w:val="28"/>
        </w:rPr>
        <w:t>.</w:t>
      </w:r>
    </w:p>
    <w:p w14:paraId="66F248FA" w14:textId="77CFA271" w:rsidR="005B2A8F" w:rsidRPr="00F242C0" w:rsidRDefault="00000000" w:rsidP="00F242C0">
      <w:pPr>
        <w:pStyle w:val="NormalWeb"/>
        <w:spacing w:before="280" w:after="280"/>
        <w:jc w:val="both"/>
        <w:rPr>
          <w:sz w:val="28"/>
          <w:szCs w:val="28"/>
        </w:rPr>
      </w:pPr>
      <w:r w:rsidRPr="00F242C0">
        <w:rPr>
          <w:rStyle w:val="font-semibold"/>
          <w:rFonts w:ascii="Calibri" w:hAnsi="Calibri"/>
          <w:sz w:val="28"/>
          <w:szCs w:val="28"/>
        </w:rPr>
        <w:t xml:space="preserve">A défaut d’une exclusion une suspension d’Israël constituerait une sanction minimale  </w:t>
      </w:r>
      <w:r w:rsidR="00F242C0" w:rsidRPr="00F242C0">
        <w:rPr>
          <w:rStyle w:val="font-semibold"/>
          <w:rFonts w:ascii="Calibri" w:hAnsi="Calibri"/>
          <w:sz w:val="28"/>
          <w:szCs w:val="28"/>
        </w:rPr>
        <w:t xml:space="preserve">d’un Etat dont </w:t>
      </w:r>
      <w:r w:rsidR="00F242C0">
        <w:rPr>
          <w:rStyle w:val="font-semibold"/>
          <w:rFonts w:ascii="Calibri" w:hAnsi="Calibri"/>
          <w:sz w:val="28"/>
          <w:szCs w:val="28"/>
        </w:rPr>
        <w:t xml:space="preserve">les actions </w:t>
      </w:r>
      <w:r w:rsidR="00F242C0" w:rsidRPr="00F242C0">
        <w:rPr>
          <w:rStyle w:val="font-semibold"/>
          <w:rFonts w:ascii="Calibri" w:hAnsi="Calibri"/>
          <w:sz w:val="28"/>
          <w:szCs w:val="28"/>
        </w:rPr>
        <w:t>barbar</w:t>
      </w:r>
      <w:r w:rsidR="00F242C0">
        <w:rPr>
          <w:rStyle w:val="font-semibold"/>
          <w:rFonts w:ascii="Calibri" w:hAnsi="Calibri"/>
          <w:sz w:val="28"/>
          <w:szCs w:val="28"/>
        </w:rPr>
        <w:t>es</w:t>
      </w:r>
      <w:r w:rsidR="00F242C0" w:rsidRPr="00F242C0">
        <w:rPr>
          <w:rStyle w:val="font-semibold"/>
          <w:rFonts w:ascii="Calibri" w:hAnsi="Calibri"/>
          <w:sz w:val="28"/>
          <w:szCs w:val="28"/>
        </w:rPr>
        <w:t xml:space="preserve"> </w:t>
      </w:r>
      <w:r w:rsidR="00925F7F">
        <w:rPr>
          <w:rStyle w:val="font-semibold"/>
          <w:rFonts w:ascii="Calibri" w:hAnsi="Calibri"/>
          <w:sz w:val="28"/>
          <w:szCs w:val="28"/>
        </w:rPr>
        <w:t xml:space="preserve">contre les palestiniens </w:t>
      </w:r>
      <w:r w:rsidR="00F242C0" w:rsidRPr="00F242C0">
        <w:rPr>
          <w:rStyle w:val="font-semibold"/>
          <w:rFonts w:ascii="Calibri" w:hAnsi="Calibri"/>
          <w:sz w:val="28"/>
          <w:szCs w:val="28"/>
        </w:rPr>
        <w:t xml:space="preserve">à Gaza </w:t>
      </w:r>
      <w:r w:rsidR="00F242C0">
        <w:rPr>
          <w:rStyle w:val="font-semibold"/>
          <w:rFonts w:ascii="Calibri" w:hAnsi="Calibri"/>
          <w:sz w:val="28"/>
          <w:szCs w:val="28"/>
        </w:rPr>
        <w:t>son</w:t>
      </w:r>
      <w:r w:rsidR="00F242C0" w:rsidRPr="00F242C0">
        <w:rPr>
          <w:rStyle w:val="font-semibold"/>
          <w:rFonts w:ascii="Calibri" w:hAnsi="Calibri"/>
          <w:sz w:val="28"/>
          <w:szCs w:val="28"/>
        </w:rPr>
        <w:t>t connue</w:t>
      </w:r>
      <w:r w:rsidR="00F242C0">
        <w:rPr>
          <w:rStyle w:val="font-semibold"/>
          <w:rFonts w:ascii="Calibri" w:hAnsi="Calibri"/>
          <w:sz w:val="28"/>
          <w:szCs w:val="28"/>
        </w:rPr>
        <w:t>s</w:t>
      </w:r>
      <w:r w:rsidR="00F242C0" w:rsidRPr="00F242C0">
        <w:rPr>
          <w:rStyle w:val="font-semibold"/>
          <w:rFonts w:ascii="Calibri" w:hAnsi="Calibri"/>
          <w:sz w:val="28"/>
          <w:szCs w:val="28"/>
        </w:rPr>
        <w:t xml:space="preserve"> du monde entier</w:t>
      </w:r>
      <w:r w:rsidR="00925F7F">
        <w:rPr>
          <w:rStyle w:val="font-semibold"/>
          <w:rFonts w:ascii="Calibri" w:hAnsi="Calibri"/>
          <w:sz w:val="28"/>
          <w:szCs w:val="28"/>
        </w:rPr>
        <w:t>.</w:t>
      </w:r>
    </w:p>
    <w:p w14:paraId="2310682C" w14:textId="2B715ED7" w:rsidR="00F242C0" w:rsidRPr="00F242C0" w:rsidRDefault="00000000" w:rsidP="00F242C0">
      <w:pPr>
        <w:pStyle w:val="NormalWeb"/>
        <w:spacing w:before="280" w:after="280"/>
        <w:jc w:val="both"/>
        <w:rPr>
          <w:rStyle w:val="font-semibold"/>
          <w:rFonts w:ascii="Calibri" w:hAnsi="Calibri"/>
          <w:sz w:val="28"/>
          <w:szCs w:val="28"/>
        </w:rPr>
      </w:pPr>
      <w:r w:rsidRPr="00F242C0">
        <w:rPr>
          <w:rStyle w:val="font-semibold"/>
          <w:rFonts w:ascii="Calibri" w:hAnsi="Calibri"/>
          <w:sz w:val="28"/>
          <w:szCs w:val="28"/>
        </w:rPr>
        <w:t xml:space="preserve">Il manque à cette opération une autorité palestinienne légitime ce qu’elle n’est plus aujourd’hui puisqu’elle n’a pas été réélue depuis 2006. </w:t>
      </w:r>
      <w:r w:rsidR="00F242C0">
        <w:rPr>
          <w:rStyle w:val="font-semibold"/>
          <w:rFonts w:ascii="Calibri" w:hAnsi="Calibri"/>
          <w:sz w:val="28"/>
          <w:szCs w:val="28"/>
        </w:rPr>
        <w:t xml:space="preserve">Cette perte de légitimité s’est traduite par </w:t>
      </w:r>
      <w:r w:rsidRPr="00F242C0">
        <w:rPr>
          <w:rStyle w:val="font-semibold"/>
          <w:rFonts w:ascii="Calibri" w:hAnsi="Calibri"/>
          <w:sz w:val="28"/>
          <w:szCs w:val="28"/>
        </w:rPr>
        <w:t>le refus par les États-Unis de visa à Mahmoud Abbas pour participer à l’Assemblée générale 2026</w:t>
      </w:r>
      <w:r w:rsidR="00F242C0">
        <w:rPr>
          <w:rStyle w:val="font-semibold"/>
          <w:rFonts w:ascii="Calibri" w:hAnsi="Calibri"/>
          <w:sz w:val="28"/>
          <w:szCs w:val="28"/>
        </w:rPr>
        <w:t xml:space="preserve"> </w:t>
      </w:r>
      <w:r w:rsidR="0004708E">
        <w:rPr>
          <w:rStyle w:val="font-semibold"/>
          <w:rFonts w:ascii="Calibri" w:hAnsi="Calibri"/>
          <w:sz w:val="28"/>
          <w:szCs w:val="28"/>
        </w:rPr>
        <w:t xml:space="preserve"> </w:t>
      </w:r>
      <w:r w:rsidR="00F242C0">
        <w:rPr>
          <w:rStyle w:val="font-semibold"/>
          <w:rFonts w:ascii="Calibri" w:hAnsi="Calibri"/>
          <w:sz w:val="28"/>
          <w:szCs w:val="28"/>
        </w:rPr>
        <w:t>.S</w:t>
      </w:r>
      <w:r w:rsidRPr="00F242C0">
        <w:rPr>
          <w:rStyle w:val="font-semibold"/>
          <w:rFonts w:ascii="Calibri" w:hAnsi="Calibri"/>
          <w:sz w:val="28"/>
          <w:szCs w:val="28"/>
        </w:rPr>
        <w:t>on intervention en vidéo éta</w:t>
      </w:r>
      <w:r w:rsidR="00F242C0">
        <w:rPr>
          <w:rStyle w:val="font-semibold"/>
          <w:rFonts w:ascii="Calibri" w:hAnsi="Calibri"/>
          <w:sz w:val="28"/>
          <w:szCs w:val="28"/>
        </w:rPr>
        <w:t>i</w:t>
      </w:r>
      <w:r w:rsidRPr="00F242C0">
        <w:rPr>
          <w:rStyle w:val="font-semibold"/>
          <w:rFonts w:ascii="Calibri" w:hAnsi="Calibri"/>
          <w:sz w:val="28"/>
          <w:szCs w:val="28"/>
        </w:rPr>
        <w:t xml:space="preserve">t une </w:t>
      </w:r>
      <w:r w:rsidR="0004708E">
        <w:rPr>
          <w:rStyle w:val="font-semibold"/>
          <w:rFonts w:ascii="Calibri" w:hAnsi="Calibri"/>
          <w:sz w:val="28"/>
          <w:szCs w:val="28"/>
        </w:rPr>
        <w:t xml:space="preserve">bien </w:t>
      </w:r>
      <w:r w:rsidRPr="00F242C0">
        <w:rPr>
          <w:rStyle w:val="font-semibold"/>
          <w:rFonts w:ascii="Calibri" w:hAnsi="Calibri"/>
          <w:sz w:val="28"/>
          <w:szCs w:val="28"/>
        </w:rPr>
        <w:t xml:space="preserve">médiocre </w:t>
      </w:r>
      <w:r w:rsidR="00F242C0">
        <w:rPr>
          <w:rStyle w:val="font-semibold"/>
          <w:rFonts w:ascii="Calibri" w:hAnsi="Calibri"/>
          <w:sz w:val="28"/>
          <w:szCs w:val="28"/>
        </w:rPr>
        <w:t>consolation.</w:t>
      </w:r>
      <w:r w:rsidRPr="00F242C0">
        <w:rPr>
          <w:rStyle w:val="font-semibold"/>
          <w:rFonts w:ascii="Calibri" w:hAnsi="Calibri"/>
          <w:sz w:val="28"/>
          <w:szCs w:val="28"/>
        </w:rPr>
        <w:t xml:space="preserve"> </w:t>
      </w:r>
    </w:p>
    <w:p w14:paraId="77E68DA3" w14:textId="747A5C25" w:rsidR="005B2A8F" w:rsidRPr="00F242C0" w:rsidRDefault="00000000" w:rsidP="00F242C0">
      <w:pPr>
        <w:pStyle w:val="NormalWeb"/>
        <w:spacing w:before="280" w:after="280"/>
        <w:jc w:val="both"/>
        <w:rPr>
          <w:sz w:val="28"/>
          <w:szCs w:val="28"/>
        </w:rPr>
      </w:pPr>
      <w:r w:rsidRPr="00F242C0">
        <w:rPr>
          <w:rStyle w:val="font-semibold"/>
          <w:rFonts w:ascii="Calibri" w:hAnsi="Calibri"/>
          <w:sz w:val="28"/>
          <w:szCs w:val="28"/>
        </w:rPr>
        <w:t xml:space="preserve">La </w:t>
      </w:r>
      <w:r w:rsidR="00581F1F" w:rsidRPr="00F242C0">
        <w:rPr>
          <w:rStyle w:val="font-semibold"/>
          <w:rFonts w:ascii="Calibri" w:hAnsi="Calibri"/>
          <w:sz w:val="28"/>
          <w:szCs w:val="28"/>
        </w:rPr>
        <w:t>r</w:t>
      </w:r>
      <w:r w:rsidRPr="00F242C0">
        <w:rPr>
          <w:rStyle w:val="font-semibold"/>
          <w:rFonts w:ascii="Calibri" w:hAnsi="Calibri"/>
          <w:sz w:val="28"/>
          <w:szCs w:val="28"/>
        </w:rPr>
        <w:t>econnaissance de l’État palestinien reste formelle tant que n’existe pas un gouvernement   qui le représente</w:t>
      </w:r>
      <w:r w:rsidR="00C220B7">
        <w:rPr>
          <w:rStyle w:val="font-semibold"/>
          <w:rFonts w:ascii="Calibri" w:hAnsi="Calibri"/>
          <w:sz w:val="28"/>
          <w:szCs w:val="28"/>
        </w:rPr>
        <w:t>. L’exemple de l’Afrique du Sud est important : une fois reconnu officiellement  le représentant du peuple colonisé et opprimé, les sanction</w:t>
      </w:r>
      <w:r w:rsidR="00014405">
        <w:rPr>
          <w:rStyle w:val="font-semibold"/>
          <w:rFonts w:ascii="Calibri" w:hAnsi="Calibri"/>
          <w:sz w:val="28"/>
          <w:szCs w:val="28"/>
        </w:rPr>
        <w:t xml:space="preserve">s internationales </w:t>
      </w:r>
      <w:r w:rsidR="00C220B7">
        <w:rPr>
          <w:rStyle w:val="font-semibold"/>
          <w:rFonts w:ascii="Calibri" w:hAnsi="Calibri"/>
          <w:sz w:val="28"/>
          <w:szCs w:val="28"/>
        </w:rPr>
        <w:t xml:space="preserve">contre le colonisateur </w:t>
      </w:r>
      <w:r w:rsidR="00925F7F">
        <w:rPr>
          <w:rStyle w:val="font-semibold"/>
          <w:rFonts w:ascii="Calibri" w:hAnsi="Calibri"/>
          <w:sz w:val="28"/>
          <w:szCs w:val="28"/>
        </w:rPr>
        <w:t xml:space="preserve"> qui ne représente plus le peuple colonisé </w:t>
      </w:r>
      <w:r w:rsidR="00C220B7">
        <w:rPr>
          <w:rStyle w:val="font-semibold"/>
          <w:rFonts w:ascii="Calibri" w:hAnsi="Calibri"/>
          <w:sz w:val="28"/>
          <w:szCs w:val="28"/>
        </w:rPr>
        <w:t>peuvent suivre</w:t>
      </w:r>
      <w:r w:rsidR="000C4F96">
        <w:rPr>
          <w:rStyle w:val="font-semibold"/>
          <w:rFonts w:ascii="Calibri" w:hAnsi="Calibri"/>
          <w:sz w:val="28"/>
          <w:szCs w:val="28"/>
        </w:rPr>
        <w:t>.</w:t>
      </w:r>
    </w:p>
    <w:p w14:paraId="0DE8D2D7" w14:textId="6E60341F" w:rsidR="00C220B7" w:rsidRDefault="00000000" w:rsidP="00F242C0">
      <w:pPr>
        <w:pStyle w:val="NormalWeb"/>
        <w:spacing w:before="280" w:after="280"/>
        <w:jc w:val="both"/>
        <w:rPr>
          <w:rStyle w:val="font-semibold"/>
          <w:rFonts w:ascii="Calibri" w:hAnsi="Calibri"/>
          <w:sz w:val="28"/>
          <w:szCs w:val="28"/>
        </w:rPr>
      </w:pPr>
      <w:r w:rsidRPr="00F242C0">
        <w:rPr>
          <w:rStyle w:val="font-semibold"/>
          <w:rFonts w:ascii="Calibri" w:hAnsi="Calibri"/>
          <w:sz w:val="28"/>
          <w:szCs w:val="28"/>
        </w:rPr>
        <w:lastRenderedPageBreak/>
        <w:t>Les prochaines élections</w:t>
      </w:r>
      <w:r w:rsidR="000C4F96">
        <w:rPr>
          <w:rStyle w:val="font-semibold"/>
          <w:rFonts w:ascii="Calibri" w:hAnsi="Calibri"/>
          <w:sz w:val="28"/>
          <w:szCs w:val="28"/>
        </w:rPr>
        <w:t xml:space="preserve"> palestiniennes</w:t>
      </w:r>
      <w:r w:rsidRPr="00F242C0">
        <w:rPr>
          <w:rStyle w:val="font-semibold"/>
          <w:rFonts w:ascii="Calibri" w:hAnsi="Calibri"/>
          <w:sz w:val="28"/>
          <w:szCs w:val="28"/>
        </w:rPr>
        <w:t xml:space="preserve"> </w:t>
      </w:r>
      <w:r w:rsidR="00C220B7">
        <w:rPr>
          <w:rStyle w:val="font-semibold"/>
          <w:rFonts w:ascii="Calibri" w:hAnsi="Calibri"/>
          <w:sz w:val="28"/>
          <w:szCs w:val="28"/>
        </w:rPr>
        <w:t xml:space="preserve">fixées au 28 Novembre </w:t>
      </w:r>
      <w:r w:rsidRPr="00F242C0">
        <w:rPr>
          <w:rStyle w:val="font-semibold"/>
          <w:rFonts w:ascii="Calibri" w:hAnsi="Calibri"/>
          <w:sz w:val="28"/>
          <w:szCs w:val="28"/>
        </w:rPr>
        <w:t xml:space="preserve">devraient permettre de faire sauter cet obstacle et ouvrir à des sanctions concrètes contre l’État sioniste pour tous les crimes qu’il a commis en Palestine sans même parler de toutes les destructions. </w:t>
      </w:r>
    </w:p>
    <w:p w14:paraId="10F8E01B" w14:textId="72775133" w:rsidR="005B2A8F" w:rsidRPr="00F242C0" w:rsidRDefault="00014405" w:rsidP="00F242C0">
      <w:pPr>
        <w:pStyle w:val="NormalWeb"/>
        <w:spacing w:before="280" w:after="280"/>
        <w:jc w:val="both"/>
        <w:rPr>
          <w:sz w:val="28"/>
          <w:szCs w:val="28"/>
        </w:rPr>
      </w:pPr>
      <w:r>
        <w:rPr>
          <w:rStyle w:val="font-semibold"/>
          <w:rFonts w:ascii="Calibri" w:hAnsi="Calibri"/>
          <w:sz w:val="28"/>
          <w:szCs w:val="28"/>
        </w:rPr>
        <w:t>A ce propos l</w:t>
      </w:r>
      <w:r w:rsidRPr="00F242C0">
        <w:rPr>
          <w:rStyle w:val="font-semibold"/>
          <w:rFonts w:ascii="Calibri" w:hAnsi="Calibri"/>
          <w:sz w:val="28"/>
          <w:szCs w:val="28"/>
        </w:rPr>
        <w:t xml:space="preserve">a CNUCED vient de publier un document détaillé qui chiffre les destructions à Gaza depuis le 7 Octobre 2022 à 71 milliards de </w:t>
      </w:r>
      <w:r w:rsidR="0063094B" w:rsidRPr="00F242C0">
        <w:rPr>
          <w:rStyle w:val="font-semibold"/>
          <w:rFonts w:ascii="Calibri" w:hAnsi="Calibri"/>
          <w:sz w:val="28"/>
          <w:szCs w:val="28"/>
        </w:rPr>
        <w:t>dollars</w:t>
      </w:r>
      <w:r w:rsidR="0063094B">
        <w:rPr>
          <w:rStyle w:val="font-semibold"/>
          <w:rFonts w:ascii="Calibri" w:hAnsi="Calibri"/>
          <w:sz w:val="28"/>
          <w:szCs w:val="28"/>
        </w:rPr>
        <w:t xml:space="preserve">. </w:t>
      </w:r>
      <w:r w:rsidR="0063094B" w:rsidRPr="00F242C0">
        <w:rPr>
          <w:rStyle w:val="font-semibold"/>
          <w:rFonts w:ascii="Calibri" w:hAnsi="Calibri"/>
          <w:sz w:val="28"/>
          <w:szCs w:val="28"/>
        </w:rPr>
        <w:t>Les</w:t>
      </w:r>
      <w:r w:rsidRPr="00F242C0">
        <w:rPr>
          <w:rStyle w:val="font-semibold"/>
          <w:rFonts w:ascii="Calibri" w:hAnsi="Calibri"/>
          <w:sz w:val="28"/>
          <w:szCs w:val="28"/>
        </w:rPr>
        <w:t xml:space="preserve"> États-Unis qui ont payé la destruction en armant et finançant Israël et qui ont un budget militaire annuel de plus de 2000 milliards de dollars peuvent et  doivent payer</w:t>
      </w:r>
      <w:r w:rsidR="0004708E">
        <w:rPr>
          <w:rStyle w:val="font-semibold"/>
          <w:rFonts w:ascii="Calibri" w:hAnsi="Calibri"/>
          <w:sz w:val="28"/>
          <w:szCs w:val="28"/>
        </w:rPr>
        <w:t>.</w:t>
      </w:r>
    </w:p>
    <w:sectPr w:rsidR="005B2A8F" w:rsidRPr="00F242C0">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A8F"/>
    <w:rsid w:val="00014405"/>
    <w:rsid w:val="0004708E"/>
    <w:rsid w:val="000C4F96"/>
    <w:rsid w:val="00242411"/>
    <w:rsid w:val="00581F1F"/>
    <w:rsid w:val="005B2A8F"/>
    <w:rsid w:val="0063094B"/>
    <w:rsid w:val="0064386A"/>
    <w:rsid w:val="00925F7F"/>
    <w:rsid w:val="00C220B7"/>
    <w:rsid w:val="00CA57AA"/>
    <w:rsid w:val="00E6536A"/>
    <w:rsid w:val="00EE1026"/>
    <w:rsid w:val="00F242C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1669"/>
  <w15:docId w15:val="{BB2428D9-0697-4449-8582-46C58F29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next w:val="Normal"/>
    <w:link w:val="Titre1Car"/>
    <w:uiPriority w:val="9"/>
    <w:qFormat/>
    <w:rsid w:val="005235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235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2351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2351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2351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2351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351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351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351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351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2351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2351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2351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2351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2351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2351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2351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23519"/>
    <w:rPr>
      <w:rFonts w:eastAsiaTheme="majorEastAsia" w:cstheme="majorBidi"/>
      <w:color w:val="272727" w:themeColor="text1" w:themeTint="D8"/>
    </w:rPr>
  </w:style>
  <w:style w:type="character" w:customStyle="1" w:styleId="TitreCar">
    <w:name w:val="Titre Car"/>
    <w:basedOn w:val="Policepardfaut"/>
    <w:link w:val="Titre"/>
    <w:uiPriority w:val="10"/>
    <w:rsid w:val="00523519"/>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rsid w:val="00523519"/>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rsid w:val="00523519"/>
    <w:rPr>
      <w:i/>
      <w:iCs/>
      <w:color w:val="404040" w:themeColor="text1" w:themeTint="BF"/>
    </w:rPr>
  </w:style>
  <w:style w:type="character" w:styleId="Accentuationintense">
    <w:name w:val="Intense Emphasis"/>
    <w:basedOn w:val="Policepardfaut"/>
    <w:uiPriority w:val="21"/>
    <w:qFormat/>
    <w:rsid w:val="00523519"/>
    <w:rPr>
      <w:i/>
      <w:iCs/>
      <w:color w:val="2F5496" w:themeColor="accent1" w:themeShade="BF"/>
    </w:rPr>
  </w:style>
  <w:style w:type="character" w:customStyle="1" w:styleId="CitationintenseCar">
    <w:name w:val="Citation intense Car"/>
    <w:basedOn w:val="Policepardfaut"/>
    <w:link w:val="Citationintense"/>
    <w:uiPriority w:val="30"/>
    <w:rsid w:val="00523519"/>
    <w:rPr>
      <w:i/>
      <w:iCs/>
      <w:color w:val="2F5496" w:themeColor="accent1" w:themeShade="BF"/>
    </w:rPr>
  </w:style>
  <w:style w:type="character" w:styleId="Rfrenceintense">
    <w:name w:val="Intense Reference"/>
    <w:basedOn w:val="Policepardfaut"/>
    <w:uiPriority w:val="32"/>
    <w:qFormat/>
    <w:rsid w:val="00523519"/>
    <w:rPr>
      <w:b/>
      <w:bCs/>
      <w:smallCaps/>
      <w:color w:val="2F5496" w:themeColor="accent1" w:themeShade="BF"/>
      <w:spacing w:val="5"/>
    </w:rPr>
  </w:style>
  <w:style w:type="character" w:customStyle="1" w:styleId="font-semibold">
    <w:name w:val="font-semibold"/>
    <w:basedOn w:val="Policepardfaut"/>
    <w:rsid w:val="00882490"/>
  </w:style>
  <w:style w:type="character" w:customStyle="1" w:styleId="Caractresdenumrotation">
    <w:name w:val="Caractères de numérotation"/>
  </w:style>
  <w:style w:type="paragraph" w:styleId="Titre">
    <w:name w:val="Title"/>
    <w:basedOn w:val="Normal"/>
    <w:next w:val="Corpsdetexte"/>
    <w:link w:val="TitreCar"/>
    <w:uiPriority w:val="10"/>
    <w:qFormat/>
    <w:rsid w:val="00523519"/>
    <w:pPr>
      <w:spacing w:after="80" w:line="240" w:lineRule="auto"/>
      <w:contextualSpacing/>
    </w:pPr>
    <w:rPr>
      <w:rFonts w:asciiTheme="majorHAnsi" w:eastAsiaTheme="majorEastAsia" w:hAnsiTheme="majorHAnsi" w:cstheme="majorBidi"/>
      <w:spacing w:val="-10"/>
      <w:sz w:val="56"/>
      <w:szCs w:val="56"/>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styleId="Sous-titre">
    <w:name w:val="Subtitle"/>
    <w:basedOn w:val="Normal"/>
    <w:next w:val="Normal"/>
    <w:link w:val="Sous-titreCar"/>
    <w:uiPriority w:val="11"/>
    <w:qFormat/>
    <w:rsid w:val="0052351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23519"/>
    <w:pPr>
      <w:spacing w:before="160"/>
      <w:jc w:val="center"/>
    </w:pPr>
    <w:rPr>
      <w:i/>
      <w:iCs/>
      <w:color w:val="404040" w:themeColor="text1" w:themeTint="BF"/>
    </w:rPr>
  </w:style>
  <w:style w:type="paragraph" w:styleId="Paragraphedeliste">
    <w:name w:val="List Paragraph"/>
    <w:basedOn w:val="Normal"/>
    <w:uiPriority w:val="34"/>
    <w:qFormat/>
    <w:rsid w:val="00523519"/>
    <w:pPr>
      <w:ind w:left="720"/>
      <w:contextualSpacing/>
    </w:pPr>
  </w:style>
  <w:style w:type="paragraph" w:styleId="Citationintense">
    <w:name w:val="Intense Quote"/>
    <w:basedOn w:val="Normal"/>
    <w:next w:val="Normal"/>
    <w:link w:val="CitationintenseCar"/>
    <w:uiPriority w:val="30"/>
    <w:qFormat/>
    <w:rsid w:val="00523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NormalWeb">
    <w:name w:val="Normal (Web)"/>
    <w:basedOn w:val="Normal"/>
    <w:uiPriority w:val="99"/>
    <w:unhideWhenUsed/>
    <w:rsid w:val="00882490"/>
    <w:pPr>
      <w:spacing w:beforeAutospacing="1" w:afterAutospacing="1" w:line="240" w:lineRule="auto"/>
    </w:pPr>
    <w:rPr>
      <w:rFonts w:ascii="Times New Roman" w:eastAsia="Times New Roman" w:hAnsi="Times New Roman" w:cs="Times New Roman"/>
      <w:kern w:val="0"/>
      <w:sz w:val="24"/>
      <w:szCs w:val="24"/>
      <w:lang w:eastAsia="fr-FR"/>
      <w14:ligatures w14:val="none"/>
    </w:rPr>
  </w:style>
  <w:style w:type="numbering" w:customStyle="1" w:styleId="Pasdeliste">
    <w:name w:val="Pas de liste"/>
    <w:uiPriority w:val="99"/>
    <w:semiHidden/>
    <w:unhideWhenUsed/>
  </w:style>
  <w:style w:type="character" w:styleId="Lienhypertexte">
    <w:name w:val="Hyperlink"/>
    <w:basedOn w:val="Policepardfaut"/>
    <w:uiPriority w:val="99"/>
    <w:unhideWhenUsed/>
    <w:rsid w:val="00014405"/>
    <w:rPr>
      <w:color w:val="0563C1" w:themeColor="hyperlink"/>
      <w:u w:val="single"/>
    </w:rPr>
  </w:style>
  <w:style w:type="character" w:styleId="Mentionnonrsolue">
    <w:name w:val="Unresolved Mention"/>
    <w:basedOn w:val="Policepardfaut"/>
    <w:uiPriority w:val="99"/>
    <w:semiHidden/>
    <w:unhideWhenUsed/>
    <w:rsid w:val="00014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790</Words>
  <Characters>4346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genet bernard</dc:creator>
  <dc:description/>
  <cp:lastModifiedBy>genet bernard</cp:lastModifiedBy>
  <cp:revision>5</cp:revision>
  <dcterms:created xsi:type="dcterms:W3CDTF">2026-09-27T16:07:00Z</dcterms:created>
  <dcterms:modified xsi:type="dcterms:W3CDTF">2026-09-27T19:04:00Z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-1504179646</vt:i4>
  </property>
</Properties>
</file>